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92" w:rsidRPr="008A3715" w:rsidRDefault="008A3715" w:rsidP="008A3715">
      <w:pPr>
        <w:pStyle w:val="cirbodytext"/>
        <w:jc w:val="center"/>
        <w:rPr>
          <w:rFonts w:asciiTheme="minorHAnsi" w:hAnsiTheme="minorHAnsi" w:cstheme="minorHAnsi"/>
          <w:b/>
          <w:color w:val="404040" w:themeColor="text1" w:themeTint="BF"/>
          <w:sz w:val="32"/>
          <w:szCs w:val="32"/>
          <w:lang w:val="en-GB"/>
        </w:rPr>
      </w:pPr>
      <w:r w:rsidRPr="008A3715">
        <w:rPr>
          <w:rFonts w:asciiTheme="minorHAnsi" w:hAnsiTheme="minorHAnsi" w:cstheme="minorHAnsi"/>
          <w:b/>
          <w:color w:val="404040" w:themeColor="text1" w:themeTint="BF"/>
          <w:sz w:val="32"/>
          <w:szCs w:val="32"/>
          <w:lang w:val="en-GB"/>
        </w:rPr>
        <w:t>Skutki Brexitu – przegląd literatury</w:t>
      </w:r>
    </w:p>
    <w:p w:rsidR="008A3715" w:rsidRDefault="008A3715" w:rsidP="00920066">
      <w:pPr>
        <w:pStyle w:val="cirbodytex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8A3715" w:rsidRDefault="008A3715" w:rsidP="00920066">
      <w:pPr>
        <w:pStyle w:val="cirbodytex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bookmarkStart w:id="0" w:name="_GoBack"/>
      <w:bookmarkEnd w:id="0"/>
    </w:p>
    <w:tbl>
      <w:tblPr>
        <w:tblStyle w:val="Tabelasiatki5ciemnaakcent2"/>
        <w:tblW w:w="14601" w:type="dxa"/>
        <w:tblLayout w:type="fixed"/>
        <w:tblLook w:val="04A0" w:firstRow="1" w:lastRow="0" w:firstColumn="1" w:lastColumn="0" w:noHBand="0" w:noVBand="1"/>
      </w:tblPr>
      <w:tblGrid>
        <w:gridCol w:w="2660"/>
        <w:gridCol w:w="5400"/>
        <w:gridCol w:w="1716"/>
        <w:gridCol w:w="1707"/>
        <w:gridCol w:w="3118"/>
      </w:tblGrid>
      <w:tr w:rsidR="008A3715" w:rsidRPr="00FE24BB" w:rsidTr="004A4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A3715" w:rsidRPr="00FE24BB" w:rsidRDefault="008A3715" w:rsidP="004A42FB">
            <w:pPr>
              <w:jc w:val="center"/>
              <w:rPr>
                <w:rFonts w:cstheme="minorHAnsi"/>
              </w:rPr>
            </w:pPr>
            <w:r w:rsidRPr="00FE24BB">
              <w:rPr>
                <w:rFonts w:cstheme="minorHAnsi"/>
              </w:rPr>
              <w:t>Tytuł/Autor</w:t>
            </w:r>
          </w:p>
        </w:tc>
        <w:tc>
          <w:tcPr>
            <w:tcW w:w="5400" w:type="dxa"/>
          </w:tcPr>
          <w:p w:rsidR="008A3715" w:rsidRPr="00FE24BB" w:rsidRDefault="008A3715" w:rsidP="004A4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E24BB">
              <w:rPr>
                <w:rFonts w:cstheme="minorHAnsi"/>
              </w:rPr>
              <w:t>Metodyka/Założenia</w:t>
            </w:r>
          </w:p>
        </w:tc>
        <w:tc>
          <w:tcPr>
            <w:tcW w:w="1716" w:type="dxa"/>
          </w:tcPr>
          <w:p w:rsidR="008A3715" w:rsidRPr="00FE24BB" w:rsidRDefault="008A3715" w:rsidP="004A4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E24BB">
              <w:rPr>
                <w:rFonts w:cstheme="minorHAnsi"/>
              </w:rPr>
              <w:t>UK</w:t>
            </w:r>
          </w:p>
        </w:tc>
        <w:tc>
          <w:tcPr>
            <w:tcW w:w="1707" w:type="dxa"/>
          </w:tcPr>
          <w:p w:rsidR="008A3715" w:rsidRPr="00FE24BB" w:rsidRDefault="008A3715" w:rsidP="004A4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E24BB">
              <w:rPr>
                <w:rFonts w:cstheme="minorHAnsi"/>
              </w:rPr>
              <w:t>PL</w:t>
            </w:r>
          </w:p>
        </w:tc>
        <w:tc>
          <w:tcPr>
            <w:tcW w:w="3118" w:type="dxa"/>
          </w:tcPr>
          <w:p w:rsidR="008A3715" w:rsidRPr="00FE24BB" w:rsidRDefault="008A3715" w:rsidP="004A4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E24BB">
              <w:rPr>
                <w:rFonts w:cstheme="minorHAnsi"/>
              </w:rPr>
              <w:t>EU/EA</w:t>
            </w:r>
          </w:p>
        </w:tc>
      </w:tr>
      <w:tr w:rsidR="008A3715" w:rsidRPr="00FE24BB" w:rsidTr="004A4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A3715" w:rsidRPr="008E0AB0" w:rsidRDefault="008A3715" w:rsidP="004A42FB">
            <w:pPr>
              <w:rPr>
                <w:rFonts w:cstheme="minorHAnsi"/>
                <w:lang w:val="en-GB"/>
              </w:rPr>
            </w:pPr>
            <w:r w:rsidRPr="008E0AB0">
              <w:rPr>
                <w:rFonts w:cstheme="minorHAnsi"/>
                <w:lang w:val="en-GB"/>
              </w:rPr>
              <w:t>Quantifying Brexit: From Ex Post to Ex Ante Using Structural Gravity,</w:t>
            </w:r>
          </w:p>
          <w:p w:rsidR="008A3715" w:rsidRPr="008E0AB0" w:rsidRDefault="008A3715" w:rsidP="004A42FB">
            <w:pPr>
              <w:rPr>
                <w:rFonts w:cstheme="minorHAnsi"/>
                <w:lang w:val="en-GB"/>
              </w:rPr>
            </w:pPr>
            <w:r w:rsidRPr="008E0AB0">
              <w:rPr>
                <w:rFonts w:cstheme="minorHAnsi"/>
                <w:lang w:val="en-GB"/>
              </w:rPr>
              <w:t>F. Felbermayr, J. Groeschl, M. Steiniger</w:t>
            </w:r>
          </w:p>
          <w:p w:rsidR="008A3715" w:rsidRPr="00FE24BB" w:rsidRDefault="008A3715" w:rsidP="004A42FB">
            <w:pPr>
              <w:rPr>
                <w:rFonts w:cstheme="minorHAnsi"/>
              </w:rPr>
            </w:pPr>
            <w:r w:rsidRPr="00FE24BB">
              <w:rPr>
                <w:rFonts w:cstheme="minorHAnsi"/>
              </w:rPr>
              <w:t>11.2018</w:t>
            </w:r>
          </w:p>
        </w:tc>
        <w:tc>
          <w:tcPr>
            <w:tcW w:w="5400" w:type="dxa"/>
          </w:tcPr>
          <w:p w:rsidR="008A3715" w:rsidRPr="00FE24BB" w:rsidRDefault="008A3715" w:rsidP="004A4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 w:rsidRPr="00FE24BB">
              <w:rPr>
                <w:rFonts w:cstheme="minorHAnsi"/>
                <w:color w:val="404040" w:themeColor="text1" w:themeTint="BF"/>
              </w:rPr>
              <w:t>Analizowano 3 scenariusze:</w:t>
            </w:r>
          </w:p>
          <w:p w:rsidR="008A3715" w:rsidRPr="00FE24BB" w:rsidRDefault="008A3715" w:rsidP="004A42FB">
            <w:pPr>
              <w:pStyle w:val="Akapitzlis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FE24BB">
              <w:rPr>
                <w:rFonts w:asciiTheme="minorHAnsi" w:hAnsiTheme="minorHAnsi" w:cstheme="minorHAnsi"/>
                <w:color w:val="404040" w:themeColor="text1" w:themeTint="BF"/>
              </w:rPr>
              <w:t xml:space="preserve">Hard brexit </w:t>
            </w:r>
          </w:p>
          <w:p w:rsidR="008A3715" w:rsidRPr="00FE24BB" w:rsidRDefault="008A3715" w:rsidP="004A42FB">
            <w:pPr>
              <w:pStyle w:val="Akapitzlis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FE24BB">
              <w:rPr>
                <w:rFonts w:asciiTheme="minorHAnsi" w:hAnsiTheme="minorHAnsi" w:cstheme="minorHAnsi"/>
                <w:color w:val="404040" w:themeColor="text1" w:themeTint="BF"/>
              </w:rPr>
              <w:t>Soft brexit, czyli UK należy do unii celnej i ma dostęp do wspólnego rynku, warunki umowy FTA zbliżone do umowy z Koreą (ostatnia najbardziej kompleksowa umowa)</w:t>
            </w:r>
          </w:p>
          <w:p w:rsidR="008A3715" w:rsidRPr="00FE24BB" w:rsidRDefault="008A3715" w:rsidP="004A42FB">
            <w:pPr>
              <w:pStyle w:val="Akapitzlis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FE24BB">
              <w:rPr>
                <w:rFonts w:asciiTheme="minorHAnsi" w:hAnsiTheme="minorHAnsi" w:cstheme="minorHAnsi"/>
                <w:color w:val="404040" w:themeColor="text1" w:themeTint="BF"/>
              </w:rPr>
              <w:t>Wymiana handlowa na zasadach WTO</w:t>
            </w:r>
          </w:p>
          <w:p w:rsidR="008A3715" w:rsidRPr="00FE24BB" w:rsidRDefault="008A3715" w:rsidP="004A4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 w:rsidRPr="00FE24BB">
              <w:rPr>
                <w:rFonts w:cstheme="minorHAnsi"/>
                <w:color w:val="404040" w:themeColor="text1" w:themeTint="BF"/>
              </w:rPr>
              <w:t>Model grawitacyjny z uwzględnieniem input-output.</w:t>
            </w:r>
            <w:r>
              <w:rPr>
                <w:rFonts w:cstheme="minorHAnsi"/>
                <w:color w:val="404040" w:themeColor="text1" w:themeTint="BF"/>
              </w:rPr>
              <w:t xml:space="preserve"> Wyniki analizy: roczna zmiana konsumpcji w odniesieniu do 2014 r. (%).</w:t>
            </w:r>
          </w:p>
        </w:tc>
        <w:tc>
          <w:tcPr>
            <w:tcW w:w="1716" w:type="dxa"/>
          </w:tcPr>
          <w:p w:rsidR="008A3715" w:rsidRDefault="008A3715" w:rsidP="004A4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t>Zmiana konsumpcji (%):</w:t>
            </w:r>
          </w:p>
          <w:p w:rsidR="008A3715" w:rsidRPr="00684EA7" w:rsidRDefault="008A3715" w:rsidP="004A42FB">
            <w:pPr>
              <w:pStyle w:val="Akapitzlis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 w:rsidRPr="00684EA7">
              <w:rPr>
                <w:rFonts w:cstheme="minorHAnsi"/>
                <w:color w:val="404040" w:themeColor="text1" w:themeTint="BF"/>
              </w:rPr>
              <w:t>-2,76</w:t>
            </w:r>
          </w:p>
          <w:p w:rsidR="008A3715" w:rsidRPr="00FE24BB" w:rsidRDefault="008A3715" w:rsidP="004A42FB">
            <w:pPr>
              <w:pStyle w:val="Akapitzlis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FE24BB">
              <w:rPr>
                <w:rFonts w:asciiTheme="minorHAnsi" w:hAnsiTheme="minorHAnsi" w:cstheme="minorHAnsi"/>
                <w:color w:val="404040" w:themeColor="text1" w:themeTint="BF"/>
              </w:rPr>
              <w:t>-0,93</w:t>
            </w:r>
          </w:p>
          <w:p w:rsidR="008A3715" w:rsidRPr="00FE24BB" w:rsidRDefault="008A3715" w:rsidP="004A42FB">
            <w:pPr>
              <w:pStyle w:val="Akapitzlis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FE24BB">
              <w:rPr>
                <w:rFonts w:asciiTheme="minorHAnsi" w:hAnsiTheme="minorHAnsi" w:cstheme="minorHAnsi"/>
                <w:color w:val="404040" w:themeColor="text1" w:themeTint="BF"/>
              </w:rPr>
              <w:t>-1,43</w:t>
            </w:r>
          </w:p>
        </w:tc>
        <w:tc>
          <w:tcPr>
            <w:tcW w:w="1707" w:type="dxa"/>
          </w:tcPr>
          <w:p w:rsidR="008A3715" w:rsidRDefault="008A3715" w:rsidP="004A4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t>Zmiana konsumpcji (%):</w:t>
            </w:r>
          </w:p>
          <w:p w:rsidR="008A3715" w:rsidRPr="00FE24BB" w:rsidRDefault="008A3715" w:rsidP="004A42FB">
            <w:pPr>
              <w:pStyle w:val="Akapitzlist"/>
              <w:numPr>
                <w:ilvl w:val="0"/>
                <w:numId w:val="7"/>
              </w:numPr>
              <w:ind w:left="35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FE24BB">
              <w:rPr>
                <w:rFonts w:asciiTheme="minorHAnsi" w:hAnsiTheme="minorHAnsi" w:cstheme="minorHAnsi"/>
                <w:color w:val="404040" w:themeColor="text1" w:themeTint="BF"/>
              </w:rPr>
              <w:t>-0,69</w:t>
            </w:r>
          </w:p>
          <w:p w:rsidR="008A3715" w:rsidRPr="00FE24BB" w:rsidRDefault="008A3715" w:rsidP="004A42FB">
            <w:pPr>
              <w:pStyle w:val="Akapitzlist"/>
              <w:numPr>
                <w:ilvl w:val="0"/>
                <w:numId w:val="7"/>
              </w:numPr>
              <w:ind w:left="35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FE24BB">
              <w:rPr>
                <w:rFonts w:asciiTheme="minorHAnsi" w:hAnsiTheme="minorHAnsi" w:cstheme="minorHAnsi"/>
                <w:color w:val="404040" w:themeColor="text1" w:themeTint="BF"/>
              </w:rPr>
              <w:t>-0,25</w:t>
            </w:r>
          </w:p>
          <w:p w:rsidR="008A3715" w:rsidRPr="00FE24BB" w:rsidRDefault="008A3715" w:rsidP="004A42FB">
            <w:pPr>
              <w:pStyle w:val="Akapitzlist"/>
              <w:numPr>
                <w:ilvl w:val="0"/>
                <w:numId w:val="7"/>
              </w:numPr>
              <w:ind w:left="35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FE24BB">
              <w:rPr>
                <w:rFonts w:asciiTheme="minorHAnsi" w:hAnsiTheme="minorHAnsi" w:cstheme="minorHAnsi"/>
                <w:color w:val="404040" w:themeColor="text1" w:themeTint="BF"/>
              </w:rPr>
              <w:t>-0,73</w:t>
            </w:r>
          </w:p>
        </w:tc>
        <w:tc>
          <w:tcPr>
            <w:tcW w:w="3118" w:type="dxa"/>
          </w:tcPr>
          <w:p w:rsidR="008A3715" w:rsidRDefault="008A3715" w:rsidP="004A4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t>Zmiana konsumpcji (%):</w:t>
            </w:r>
          </w:p>
          <w:p w:rsidR="008A3715" w:rsidRPr="00FE24BB" w:rsidRDefault="008A3715" w:rsidP="004A42FB">
            <w:pPr>
              <w:pStyle w:val="Akapitzlist"/>
              <w:numPr>
                <w:ilvl w:val="0"/>
                <w:numId w:val="8"/>
              </w:numPr>
              <w:ind w:left="4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FE24BB">
              <w:rPr>
                <w:rFonts w:asciiTheme="minorHAnsi" w:hAnsiTheme="minorHAnsi" w:cstheme="minorHAnsi"/>
                <w:color w:val="404040" w:themeColor="text1" w:themeTint="BF"/>
              </w:rPr>
              <w:t>-0,78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 (UE)</w:t>
            </w:r>
          </w:p>
          <w:p w:rsidR="008A3715" w:rsidRPr="00FE24BB" w:rsidRDefault="008A3715" w:rsidP="004A42FB">
            <w:pPr>
              <w:pStyle w:val="Akapitzlist"/>
              <w:numPr>
                <w:ilvl w:val="0"/>
                <w:numId w:val="8"/>
              </w:numPr>
              <w:ind w:left="4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FE24BB">
              <w:rPr>
                <w:rFonts w:asciiTheme="minorHAnsi" w:hAnsiTheme="minorHAnsi" w:cstheme="minorHAnsi"/>
                <w:color w:val="404040" w:themeColor="text1" w:themeTint="BF"/>
              </w:rPr>
              <w:t>-0,2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 (UE)</w:t>
            </w:r>
          </w:p>
          <w:p w:rsidR="008A3715" w:rsidRPr="00FE24BB" w:rsidRDefault="008A3715" w:rsidP="004A42FB">
            <w:pPr>
              <w:pStyle w:val="Akapitzlist"/>
              <w:numPr>
                <w:ilvl w:val="0"/>
                <w:numId w:val="8"/>
              </w:numPr>
              <w:ind w:left="4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FE24BB">
              <w:rPr>
                <w:rFonts w:asciiTheme="minorHAnsi" w:hAnsiTheme="minorHAnsi" w:cstheme="minorHAnsi"/>
                <w:color w:val="404040" w:themeColor="text1" w:themeTint="BF"/>
              </w:rPr>
              <w:t>-0,83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 (UE)</w:t>
            </w:r>
          </w:p>
        </w:tc>
      </w:tr>
      <w:tr w:rsidR="008A3715" w:rsidRPr="00FE24BB" w:rsidTr="004A4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A3715" w:rsidRPr="008E0AB0" w:rsidRDefault="008A3715" w:rsidP="004A42FB">
            <w:pPr>
              <w:rPr>
                <w:rFonts w:cstheme="minorHAnsi"/>
                <w:lang w:val="en-GB"/>
              </w:rPr>
            </w:pPr>
            <w:r w:rsidRPr="008E0AB0">
              <w:rPr>
                <w:rFonts w:cstheme="minorHAnsi"/>
                <w:lang w:val="en-GB"/>
              </w:rPr>
              <w:t>Bank of England, EU withdrawal scenarios and monetary and financial stability</w:t>
            </w:r>
          </w:p>
          <w:p w:rsidR="008A3715" w:rsidRPr="00FE24BB" w:rsidRDefault="008A3715" w:rsidP="004A42FB">
            <w:pPr>
              <w:rPr>
                <w:rFonts w:cstheme="minorHAnsi"/>
              </w:rPr>
            </w:pPr>
            <w:r w:rsidRPr="00FE24BB">
              <w:rPr>
                <w:rFonts w:cstheme="minorHAnsi"/>
              </w:rPr>
              <w:t>11.2018</w:t>
            </w:r>
          </w:p>
        </w:tc>
        <w:tc>
          <w:tcPr>
            <w:tcW w:w="5400" w:type="dxa"/>
          </w:tcPr>
          <w:p w:rsidR="008A3715" w:rsidRPr="00FE24BB" w:rsidRDefault="008A3715" w:rsidP="004A4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 w:rsidRPr="00FE24BB">
              <w:rPr>
                <w:rFonts w:cstheme="minorHAnsi"/>
                <w:color w:val="404040" w:themeColor="text1" w:themeTint="BF"/>
              </w:rPr>
              <w:t>Przeanalizowano dwa scenariusze:</w:t>
            </w:r>
          </w:p>
          <w:p w:rsidR="008A3715" w:rsidRPr="00FE24BB" w:rsidRDefault="008A3715" w:rsidP="004A42FB">
            <w:pPr>
              <w:pStyle w:val="Akapitzlist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FE24BB">
              <w:rPr>
                <w:rFonts w:asciiTheme="minorHAnsi" w:hAnsiTheme="minorHAnsi" w:cstheme="minorHAnsi"/>
                <w:color w:val="404040" w:themeColor="text1" w:themeTint="BF"/>
              </w:rPr>
              <w:t>1)     Scenariusze partnerstwa gospodarczego na podstawie Umowy Wyjścia oraz Deklaracji Politycznej</w:t>
            </w:r>
          </w:p>
          <w:p w:rsidR="008A3715" w:rsidRPr="00FE24BB" w:rsidRDefault="008A3715" w:rsidP="004A42FB">
            <w:pPr>
              <w:pStyle w:val="Akapitzlist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FE24BB">
              <w:rPr>
                <w:rFonts w:asciiTheme="minorHAnsi" w:hAnsiTheme="minorHAnsi" w:cstheme="minorHAnsi"/>
                <w:color w:val="404040" w:themeColor="text1" w:themeTint="BF"/>
              </w:rPr>
              <w:t>2)     Scenariusze wyjścia bez porozumienia</w:t>
            </w:r>
          </w:p>
          <w:p w:rsidR="008A3715" w:rsidRPr="00FE24BB" w:rsidRDefault="008A3715" w:rsidP="004A4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 w:rsidRPr="00FE24BB">
              <w:rPr>
                <w:rFonts w:cstheme="minorHAnsi"/>
                <w:color w:val="404040" w:themeColor="text1" w:themeTint="BF"/>
              </w:rPr>
              <w:t xml:space="preserve">Zastosowano modele BoE, w tym modele grawitacyjne. Wyniki </w:t>
            </w:r>
            <w:r>
              <w:rPr>
                <w:rFonts w:cstheme="minorHAnsi"/>
                <w:color w:val="404040" w:themeColor="text1" w:themeTint="BF"/>
              </w:rPr>
              <w:t>analizy: zmiana poziomu PKB w 2023 r.</w:t>
            </w:r>
            <w:r w:rsidRPr="00FE24BB">
              <w:rPr>
                <w:rFonts w:cstheme="minorHAnsi"/>
                <w:color w:val="404040" w:themeColor="text1" w:themeTint="BF"/>
              </w:rPr>
              <w:t xml:space="preserve"> w odniesieniu do </w:t>
            </w:r>
            <w:r>
              <w:rPr>
                <w:rFonts w:cstheme="minorHAnsi"/>
                <w:color w:val="404040" w:themeColor="text1" w:themeTint="BF"/>
              </w:rPr>
              <w:t>scenariusza bazowego z 2018 r. (%)</w:t>
            </w:r>
          </w:p>
        </w:tc>
        <w:tc>
          <w:tcPr>
            <w:tcW w:w="1716" w:type="dxa"/>
          </w:tcPr>
          <w:p w:rsidR="008A3715" w:rsidRPr="00FE24BB" w:rsidRDefault="008A3715" w:rsidP="004A42FB">
            <w:pPr>
              <w:pStyle w:val="Akapitzlist"/>
              <w:numPr>
                <w:ilvl w:val="0"/>
                <w:numId w:val="4"/>
              </w:numPr>
              <w:ind w:left="0" w:hanging="6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Zmiana PKB (%): </w:t>
            </w:r>
            <w:r w:rsidRPr="00FE24BB">
              <w:rPr>
                <w:rFonts w:asciiTheme="minorHAnsi" w:hAnsiTheme="minorHAnsi" w:cstheme="minorHAnsi"/>
                <w:color w:val="404040" w:themeColor="text1" w:themeTint="BF"/>
              </w:rPr>
              <w:t>1.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 -0,75 </w:t>
            </w:r>
            <w:r w:rsidRPr="00FE710A">
              <w:rPr>
                <w:rFonts w:asciiTheme="minorHAnsi" w:hAnsiTheme="minorHAnsi" w:cstheme="minorHAnsi"/>
                <w:color w:val="404040" w:themeColor="text1" w:themeTint="BF"/>
              </w:rPr>
              <w:t xml:space="preserve">do </w:t>
            </w:r>
            <w:r w:rsidRPr="008A3715">
              <w:rPr>
                <w:rFonts w:asciiTheme="minorHAnsi" w:hAnsiTheme="minorHAnsi" w:cstheme="minorHAnsi"/>
                <w:color w:val="404040" w:themeColor="text1" w:themeTint="BF"/>
              </w:rPr>
              <w:t>-</w:t>
            </w:r>
            <w:r w:rsidRPr="00FE710A">
              <w:rPr>
                <w:rFonts w:asciiTheme="minorHAnsi" w:hAnsiTheme="minorHAnsi" w:cstheme="minorHAnsi"/>
                <w:color w:val="404040" w:themeColor="text1" w:themeTint="BF"/>
              </w:rPr>
              <w:t>1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>,75</w:t>
            </w:r>
          </w:p>
          <w:p w:rsidR="008A3715" w:rsidRPr="007D3169" w:rsidRDefault="008A3715" w:rsidP="004A4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 w:rsidRPr="007D3169">
              <w:rPr>
                <w:rFonts w:cstheme="minorHAnsi"/>
                <w:color w:val="404040" w:themeColor="text1" w:themeTint="BF"/>
              </w:rPr>
              <w:t xml:space="preserve">2. </w:t>
            </w:r>
            <w:r>
              <w:rPr>
                <w:rFonts w:cstheme="minorHAnsi"/>
                <w:color w:val="404040" w:themeColor="text1" w:themeTint="BF"/>
              </w:rPr>
              <w:t xml:space="preserve">-4,75 do </w:t>
            </w:r>
            <w:r>
              <w:rPr>
                <w:rFonts w:cstheme="minorHAnsi"/>
                <w:color w:val="404040" w:themeColor="text1" w:themeTint="BF"/>
              </w:rPr>
              <w:noBreakHyphen/>
              <w:t>7,75</w:t>
            </w:r>
          </w:p>
        </w:tc>
        <w:tc>
          <w:tcPr>
            <w:tcW w:w="1707" w:type="dxa"/>
          </w:tcPr>
          <w:p w:rsidR="008A3715" w:rsidRPr="00FE24BB" w:rsidRDefault="008A3715" w:rsidP="004A4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18" w:type="dxa"/>
          </w:tcPr>
          <w:p w:rsidR="008A3715" w:rsidRPr="00FE24BB" w:rsidRDefault="008A3715" w:rsidP="004A4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A3715" w:rsidRPr="00FE24BB" w:rsidTr="004A4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A3715" w:rsidRPr="00FE24BB" w:rsidRDefault="008A3715" w:rsidP="004A42FB">
            <w:pPr>
              <w:rPr>
                <w:rFonts w:cstheme="minorHAnsi"/>
              </w:rPr>
            </w:pPr>
            <w:r w:rsidRPr="00FE24BB">
              <w:rPr>
                <w:rFonts w:cstheme="minorHAnsi"/>
              </w:rPr>
              <w:t xml:space="preserve">Notatka PM nt. analizy skutków obustronnego nałożenia/zwiększenia taryf celnych </w:t>
            </w:r>
            <w:r w:rsidRPr="00FE24BB">
              <w:rPr>
                <w:rFonts w:cstheme="minorHAnsi"/>
              </w:rPr>
              <w:br/>
              <w:t>w handlu zagranicznym Wielkiej Brytanii z krajami UE/EFTA na skutek Brexitu,</w:t>
            </w:r>
          </w:p>
          <w:p w:rsidR="008A3715" w:rsidRPr="00FE24BB" w:rsidRDefault="008A3715" w:rsidP="004A42FB">
            <w:pPr>
              <w:rPr>
                <w:rFonts w:cstheme="minorHAnsi"/>
              </w:rPr>
            </w:pPr>
            <w:r w:rsidRPr="00FE24BB">
              <w:rPr>
                <w:rFonts w:cstheme="minorHAnsi"/>
              </w:rPr>
              <w:t>11.2018</w:t>
            </w:r>
          </w:p>
        </w:tc>
        <w:tc>
          <w:tcPr>
            <w:tcW w:w="5400" w:type="dxa"/>
          </w:tcPr>
          <w:p w:rsidR="008A3715" w:rsidRDefault="008A3715" w:rsidP="004A4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 w:rsidRPr="008E0AB0">
              <w:rPr>
                <w:rFonts w:cstheme="minorHAnsi"/>
                <w:color w:val="404040" w:themeColor="text1" w:themeTint="BF"/>
              </w:rPr>
              <w:t xml:space="preserve">Model CGE z uwzględnieniem </w:t>
            </w:r>
            <w:r>
              <w:rPr>
                <w:rFonts w:cstheme="minorHAnsi"/>
                <w:color w:val="404040" w:themeColor="text1" w:themeTint="BF"/>
              </w:rPr>
              <w:t>s</w:t>
            </w:r>
            <w:r w:rsidRPr="00FE24BB">
              <w:rPr>
                <w:rFonts w:cstheme="minorHAnsi"/>
                <w:color w:val="404040" w:themeColor="text1" w:themeTint="BF"/>
              </w:rPr>
              <w:t>ymulowan</w:t>
            </w:r>
            <w:r>
              <w:rPr>
                <w:rFonts w:cstheme="minorHAnsi"/>
                <w:color w:val="404040" w:themeColor="text1" w:themeTint="BF"/>
              </w:rPr>
              <w:t>ego</w:t>
            </w:r>
            <w:r w:rsidRPr="00FE24BB">
              <w:rPr>
                <w:rFonts w:cstheme="minorHAnsi"/>
                <w:color w:val="404040" w:themeColor="text1" w:themeTint="BF"/>
              </w:rPr>
              <w:t xml:space="preserve"> szok</w:t>
            </w:r>
            <w:r>
              <w:rPr>
                <w:rFonts w:cstheme="minorHAnsi"/>
                <w:color w:val="404040" w:themeColor="text1" w:themeTint="BF"/>
              </w:rPr>
              <w:t>u</w:t>
            </w:r>
            <w:r w:rsidRPr="00FE24BB">
              <w:rPr>
                <w:rFonts w:cstheme="minorHAnsi"/>
                <w:color w:val="404040" w:themeColor="text1" w:themeTint="BF"/>
              </w:rPr>
              <w:t xml:space="preserve"> </w:t>
            </w:r>
            <w:r>
              <w:rPr>
                <w:rFonts w:cstheme="minorHAnsi"/>
                <w:color w:val="404040" w:themeColor="text1" w:themeTint="BF"/>
              </w:rPr>
              <w:t>w postaci</w:t>
            </w:r>
            <w:r w:rsidRPr="00FE24BB">
              <w:rPr>
                <w:rFonts w:cstheme="minorHAnsi"/>
                <w:color w:val="404040" w:themeColor="text1" w:themeTint="BF"/>
              </w:rPr>
              <w:t xml:space="preserve"> nałożeni</w:t>
            </w:r>
            <w:r>
              <w:rPr>
                <w:rFonts w:cstheme="minorHAnsi"/>
                <w:color w:val="404040" w:themeColor="text1" w:themeTint="BF"/>
              </w:rPr>
              <w:t>a</w:t>
            </w:r>
            <w:r w:rsidRPr="00FE24BB">
              <w:rPr>
                <w:rFonts w:cstheme="minorHAnsi"/>
                <w:color w:val="404040" w:themeColor="text1" w:themeTint="BF"/>
              </w:rPr>
              <w:t xml:space="preserve"> obustronnych, symetrycznych taryf celnych w wymianie handlowej pomiędzy </w:t>
            </w:r>
            <w:r>
              <w:rPr>
                <w:rFonts w:cstheme="minorHAnsi"/>
                <w:color w:val="404040" w:themeColor="text1" w:themeTint="BF"/>
              </w:rPr>
              <w:t>UK</w:t>
            </w:r>
            <w:r w:rsidRPr="00FE24BB">
              <w:rPr>
                <w:rFonts w:cstheme="minorHAnsi"/>
                <w:color w:val="404040" w:themeColor="text1" w:themeTint="BF"/>
              </w:rPr>
              <w:t xml:space="preserve"> a wszystkimi krajami UE, w wysokości średnich taryf celnych obowiązujących obecnie dla importu poszczególnych towarów z całego świata do </w:t>
            </w:r>
            <w:r>
              <w:rPr>
                <w:rFonts w:cstheme="minorHAnsi"/>
                <w:color w:val="404040" w:themeColor="text1" w:themeTint="BF"/>
              </w:rPr>
              <w:t>UK</w:t>
            </w:r>
            <w:r w:rsidRPr="00FE24BB">
              <w:rPr>
                <w:rFonts w:cstheme="minorHAnsi"/>
                <w:color w:val="404040" w:themeColor="text1" w:themeTint="BF"/>
              </w:rPr>
              <w:t xml:space="preserve">. </w:t>
            </w:r>
          </w:p>
          <w:p w:rsidR="008A3715" w:rsidRPr="00FE24BB" w:rsidRDefault="008A3715" w:rsidP="004A4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t>Wyniki analizy: zmiana poziomu PKB w długim okresie oraz zmiany produkcji dla sektorów (%)</w:t>
            </w:r>
          </w:p>
        </w:tc>
        <w:tc>
          <w:tcPr>
            <w:tcW w:w="1716" w:type="dxa"/>
          </w:tcPr>
          <w:p w:rsidR="008A3715" w:rsidRPr="00FE24BB" w:rsidRDefault="008A3715" w:rsidP="004A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7" w:type="dxa"/>
          </w:tcPr>
          <w:p w:rsidR="008A3715" w:rsidRPr="00FE710A" w:rsidRDefault="008A3715" w:rsidP="004A4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 w:rsidRPr="00FE710A">
              <w:rPr>
                <w:rFonts w:cstheme="minorHAnsi"/>
                <w:color w:val="404040" w:themeColor="text1" w:themeTint="BF"/>
              </w:rPr>
              <w:t>Zmiana PKB (%):</w:t>
            </w:r>
          </w:p>
          <w:p w:rsidR="008A3715" w:rsidRPr="00FE710A" w:rsidRDefault="008A3715" w:rsidP="004A4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 w:rsidRPr="00FE710A">
              <w:rPr>
                <w:rFonts w:cstheme="minorHAnsi"/>
                <w:color w:val="404040" w:themeColor="text1" w:themeTint="BF"/>
              </w:rPr>
              <w:t xml:space="preserve">-0,01  </w:t>
            </w:r>
          </w:p>
          <w:p w:rsidR="008A3715" w:rsidRPr="00E12C48" w:rsidRDefault="008A3715" w:rsidP="004A4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 w:rsidRPr="00E12C48">
              <w:rPr>
                <w:rFonts w:cstheme="minorHAnsi"/>
                <w:color w:val="404040" w:themeColor="text1" w:themeTint="BF"/>
              </w:rPr>
              <w:t>Sektorowo:</w:t>
            </w:r>
          </w:p>
          <w:p w:rsidR="008A3715" w:rsidRPr="00FE710A" w:rsidRDefault="008A3715" w:rsidP="004A4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A3715">
              <w:rPr>
                <w:rFonts w:cstheme="minorHAnsi"/>
                <w:color w:val="404040" w:themeColor="text1" w:themeTint="BF"/>
              </w:rPr>
              <w:t xml:space="preserve">od -0,86% dla </w:t>
            </w:r>
            <w:r w:rsidRPr="008A3715">
              <w:rPr>
                <w:rFonts w:cstheme="minorHAnsi"/>
                <w:i/>
                <w:color w:val="404040" w:themeColor="text1" w:themeTint="BF"/>
              </w:rPr>
              <w:t>Pozostałych</w:t>
            </w:r>
            <w:r w:rsidRPr="008A3715">
              <w:rPr>
                <w:rFonts w:cstheme="minorHAnsi"/>
                <w:color w:val="404040" w:themeColor="text1" w:themeTint="BF"/>
              </w:rPr>
              <w:t xml:space="preserve"> </w:t>
            </w:r>
            <w:r w:rsidRPr="008A3715">
              <w:rPr>
                <w:rFonts w:cstheme="minorHAnsi"/>
                <w:i/>
                <w:color w:val="404040" w:themeColor="text1" w:themeTint="BF"/>
              </w:rPr>
              <w:t>metali nieżelaznych</w:t>
            </w:r>
            <w:r w:rsidRPr="008A3715">
              <w:rPr>
                <w:rFonts w:cstheme="minorHAnsi"/>
                <w:color w:val="404040" w:themeColor="text1" w:themeTint="BF"/>
              </w:rPr>
              <w:t xml:space="preserve"> do </w:t>
            </w:r>
            <w:r w:rsidRPr="00FE710A">
              <w:rPr>
                <w:rFonts w:cstheme="minorHAnsi"/>
                <w:color w:val="404040" w:themeColor="text1" w:themeTint="BF"/>
              </w:rPr>
              <w:t xml:space="preserve">-0,31% dla </w:t>
            </w:r>
            <w:r w:rsidRPr="00FE710A">
              <w:rPr>
                <w:rFonts w:cstheme="minorHAnsi"/>
                <w:i/>
                <w:color w:val="404040" w:themeColor="text1" w:themeTint="BF"/>
              </w:rPr>
              <w:t>Sprzętu elektronicznego</w:t>
            </w:r>
          </w:p>
        </w:tc>
        <w:tc>
          <w:tcPr>
            <w:tcW w:w="3118" w:type="dxa"/>
          </w:tcPr>
          <w:p w:rsidR="008A3715" w:rsidRPr="00FE24BB" w:rsidRDefault="008A3715" w:rsidP="004A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A3715" w:rsidRPr="00FE24BB" w:rsidTr="004A42FB">
        <w:trPr>
          <w:trHeight w:val="1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A3715" w:rsidRPr="00FE24BB" w:rsidRDefault="008A3715" w:rsidP="004A42F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E24BB">
              <w:rPr>
                <w:rFonts w:cstheme="minorHAnsi"/>
                <w:lang w:val="en-US"/>
              </w:rPr>
              <w:lastRenderedPageBreak/>
              <w:t>Open Europe,</w:t>
            </w:r>
          </w:p>
          <w:p w:rsidR="008A3715" w:rsidRPr="00FE24BB" w:rsidRDefault="008A3715" w:rsidP="004A42F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E24BB">
              <w:rPr>
                <w:rFonts w:cstheme="minorHAnsi"/>
                <w:lang w:val="en-US"/>
              </w:rPr>
              <w:t>No Deal Brexit</w:t>
            </w:r>
          </w:p>
          <w:p w:rsidR="008A3715" w:rsidRPr="00FE24BB" w:rsidRDefault="008A3715" w:rsidP="004A42F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 w:rsidRPr="00FE24BB">
              <w:rPr>
                <w:rFonts w:cstheme="minorHAnsi"/>
                <w:lang w:val="en-US"/>
              </w:rPr>
              <w:t>10.2018</w:t>
            </w:r>
          </w:p>
        </w:tc>
        <w:tc>
          <w:tcPr>
            <w:tcW w:w="5400" w:type="dxa"/>
          </w:tcPr>
          <w:p w:rsidR="008A3715" w:rsidRPr="00FE24BB" w:rsidRDefault="008A3715" w:rsidP="004A42F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 w:rsidRPr="008E0AB0">
              <w:rPr>
                <w:rFonts w:cstheme="minorHAnsi"/>
                <w:color w:val="404040" w:themeColor="text1" w:themeTint="BF"/>
              </w:rPr>
              <w:t>Model CGE.</w:t>
            </w:r>
          </w:p>
          <w:p w:rsidR="008A3715" w:rsidRPr="00FE24BB" w:rsidRDefault="008A3715" w:rsidP="004A42F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 w:rsidRPr="00FE24BB">
              <w:rPr>
                <w:rFonts w:cstheme="minorHAnsi"/>
                <w:color w:val="404040" w:themeColor="text1" w:themeTint="BF"/>
              </w:rPr>
              <w:t>Analiza oparta o scenariusze:</w:t>
            </w:r>
          </w:p>
          <w:p w:rsidR="008A3715" w:rsidRPr="00FE24BB" w:rsidRDefault="008A3715" w:rsidP="004A42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FE24BB">
              <w:rPr>
                <w:rFonts w:asciiTheme="minorHAnsi" w:hAnsiTheme="minorHAnsi" w:cstheme="minorHAnsi"/>
                <w:color w:val="404040" w:themeColor="text1" w:themeTint="BF"/>
              </w:rPr>
              <w:t xml:space="preserve">no deal, </w:t>
            </w:r>
          </w:p>
          <w:p w:rsidR="008A3715" w:rsidRPr="00FE24BB" w:rsidRDefault="008A3715" w:rsidP="004A42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FE24BB">
              <w:rPr>
                <w:rFonts w:asciiTheme="minorHAnsi" w:hAnsiTheme="minorHAnsi" w:cstheme="minorHAnsi"/>
                <w:color w:val="404040" w:themeColor="text1" w:themeTint="BF"/>
              </w:rPr>
              <w:t xml:space="preserve">no deal z dodatkowym uwzględnieniem jednostronnej liberalizacji handlu. </w:t>
            </w:r>
          </w:p>
          <w:p w:rsidR="008A3715" w:rsidRPr="008E0AB0" w:rsidRDefault="008A3715" w:rsidP="004A42FB">
            <w:pPr>
              <w:tabs>
                <w:tab w:val="left" w:pos="468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t xml:space="preserve">Wyniki </w:t>
            </w:r>
            <w:r w:rsidRPr="008E0AB0">
              <w:rPr>
                <w:rFonts w:cstheme="minorHAnsi"/>
                <w:color w:val="404040" w:themeColor="text1" w:themeTint="BF"/>
              </w:rPr>
              <w:t>analizy:</w:t>
            </w:r>
            <w:r>
              <w:rPr>
                <w:rFonts w:cstheme="minorHAnsi"/>
                <w:color w:val="404040" w:themeColor="text1" w:themeTint="BF"/>
              </w:rPr>
              <w:t xml:space="preserve"> zmiana tempa wzrostu PKB aż do 2030 r. oraz skumulowana zmiana PKB w 2030 r.</w:t>
            </w:r>
          </w:p>
        </w:tc>
        <w:tc>
          <w:tcPr>
            <w:tcW w:w="1716" w:type="dxa"/>
          </w:tcPr>
          <w:p w:rsidR="008A3715" w:rsidRDefault="008A3715" w:rsidP="004A42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Zmiana wzrostu PKB (%) / skumulowana zmiana PKB (%):</w:t>
            </w:r>
          </w:p>
          <w:p w:rsidR="008A3715" w:rsidRPr="00FE24BB" w:rsidRDefault="008A3715" w:rsidP="004A42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FE24B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1.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-</w:t>
            </w:r>
            <w:r w:rsidRPr="00FE24B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,</w:t>
            </w:r>
            <w:r w:rsidRPr="00FE24B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17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/ </w:t>
            </w:r>
            <w:r w:rsidRPr="00FE24B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-2,21</w:t>
            </w:r>
          </w:p>
          <w:p w:rsidR="008A3715" w:rsidRPr="00FE24BB" w:rsidRDefault="008A3715" w:rsidP="004A42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FE24B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2.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-</w:t>
            </w:r>
            <w:r w:rsidRPr="00FE24B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0</w:t>
            </w: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,</w:t>
            </w:r>
            <w:r w:rsidRPr="00FE24B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04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/ </w:t>
            </w:r>
            <w:r w:rsidRPr="00FE24B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-0,5</w:t>
            </w:r>
          </w:p>
          <w:p w:rsidR="008A3715" w:rsidRPr="00FE24BB" w:rsidRDefault="008A3715" w:rsidP="004A42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GB"/>
              </w:rPr>
            </w:pPr>
          </w:p>
        </w:tc>
        <w:tc>
          <w:tcPr>
            <w:tcW w:w="1707" w:type="dxa"/>
          </w:tcPr>
          <w:p w:rsidR="008A3715" w:rsidRPr="00FE24BB" w:rsidRDefault="008A3715" w:rsidP="004A42F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lang w:val="en-GB"/>
              </w:rPr>
            </w:pPr>
          </w:p>
        </w:tc>
        <w:tc>
          <w:tcPr>
            <w:tcW w:w="3118" w:type="dxa"/>
          </w:tcPr>
          <w:p w:rsidR="008A3715" w:rsidRPr="00FE24BB" w:rsidRDefault="008A3715" w:rsidP="004A42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8A3715" w:rsidRPr="00FE24BB" w:rsidTr="004A4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A3715" w:rsidRDefault="008A3715" w:rsidP="004A42F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International Monetary Fund,</w:t>
            </w:r>
          </w:p>
          <w:p w:rsidR="008A3715" w:rsidRDefault="008A3715" w:rsidP="004A42F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The long-term impact of Brexit on the European Union</w:t>
            </w:r>
          </w:p>
          <w:p w:rsidR="008A3715" w:rsidRPr="00FE24BB" w:rsidRDefault="008A3715" w:rsidP="004A42F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08.2018</w:t>
            </w:r>
          </w:p>
        </w:tc>
        <w:tc>
          <w:tcPr>
            <w:tcW w:w="5400" w:type="dxa"/>
          </w:tcPr>
          <w:p w:rsidR="008A3715" w:rsidRDefault="008A3715" w:rsidP="004A42F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t>Model kointegracji panelowej w 3 scenariuszach:</w:t>
            </w:r>
          </w:p>
          <w:p w:rsidR="008A3715" w:rsidRPr="00C57A62" w:rsidRDefault="008A3715" w:rsidP="004A42FB">
            <w:pPr>
              <w:pStyle w:val="Default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8A3715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1. </w:t>
            </w:r>
            <w:r w:rsidRPr="007D33EA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Przynależność UK do Europejskiego Obszaru Gospodarczego </w:t>
            </w:r>
            <w:r w:rsidRPr="00C57A62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(EEA)</w:t>
            </w:r>
          </w:p>
          <w:p w:rsidR="008A3715" w:rsidRPr="00C57A62" w:rsidRDefault="008A3715" w:rsidP="004A42FB">
            <w:pPr>
              <w:pStyle w:val="Default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C57A62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2. umowa o wolnym handlu (FTA)</w:t>
            </w:r>
          </w:p>
          <w:p w:rsidR="008A3715" w:rsidRPr="007D33EA" w:rsidRDefault="008A3715" w:rsidP="004A42FB">
            <w:pPr>
              <w:pStyle w:val="Default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 w:rsidRPr="007D33EA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3. wymiana handlowa na zasadach WTO </w:t>
            </w:r>
          </w:p>
          <w:p w:rsidR="008A3715" w:rsidRDefault="008A3715" w:rsidP="004A42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Wynik analizy: zmiana poziomu PKB i zatrudnienia (%) w długim okresie.</w:t>
            </w:r>
          </w:p>
          <w:p w:rsidR="008A3715" w:rsidRDefault="008A3715" w:rsidP="004A42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  <w:p w:rsidR="008A3715" w:rsidRDefault="008A3715" w:rsidP="004A42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Model CGE uwzględniający cła oraz bariery pozataryfowe w 2 scenariuszach:</w:t>
            </w:r>
          </w:p>
          <w:p w:rsidR="008A3715" w:rsidRPr="007D33EA" w:rsidRDefault="008A3715" w:rsidP="004A42FB">
            <w:pPr>
              <w:pStyle w:val="Default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FTA</w:t>
            </w:r>
          </w:p>
          <w:p w:rsidR="008A3715" w:rsidRPr="007D33EA" w:rsidRDefault="008A3715" w:rsidP="004A42FB">
            <w:pPr>
              <w:pStyle w:val="Default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WTO</w:t>
            </w:r>
          </w:p>
          <w:p w:rsidR="008A3715" w:rsidRPr="008E0AB0" w:rsidRDefault="008A3715" w:rsidP="004A42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Wynik analizy: zmiana poziomu PKB (%) w długim okresie.</w:t>
            </w:r>
          </w:p>
        </w:tc>
        <w:tc>
          <w:tcPr>
            <w:tcW w:w="1716" w:type="dxa"/>
          </w:tcPr>
          <w:p w:rsidR="008A3715" w:rsidRDefault="008A3715" w:rsidP="004A42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07" w:type="dxa"/>
          </w:tcPr>
          <w:p w:rsidR="008A3715" w:rsidRPr="008A3715" w:rsidRDefault="008A3715" w:rsidP="004A42F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  <w:p w:rsidR="008A3715" w:rsidRPr="008A3715" w:rsidRDefault="008A3715" w:rsidP="004A42F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  <w:p w:rsidR="008A3715" w:rsidRPr="008A3715" w:rsidRDefault="008A3715" w:rsidP="004A42F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  <w:p w:rsidR="008A3715" w:rsidRPr="008A3715" w:rsidRDefault="008A3715" w:rsidP="004A42F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  <w:p w:rsidR="008A3715" w:rsidRPr="008A3715" w:rsidRDefault="008A3715" w:rsidP="004A42F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  <w:p w:rsidR="008A3715" w:rsidRPr="008A3715" w:rsidRDefault="008A3715" w:rsidP="004A42F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  <w:p w:rsidR="008A3715" w:rsidRPr="008A3715" w:rsidRDefault="008A3715" w:rsidP="004A42F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  <w:p w:rsidR="008A3715" w:rsidRPr="008A3715" w:rsidRDefault="008A3715" w:rsidP="004A42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  <w:p w:rsidR="008A3715" w:rsidRDefault="008A3715" w:rsidP="004A42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GB"/>
              </w:rPr>
              <w:t>Zmiana PKB (%):</w:t>
            </w:r>
          </w:p>
          <w:p w:rsidR="008A3715" w:rsidRDefault="008A3715" w:rsidP="004A42FB">
            <w:pPr>
              <w:pStyle w:val="Default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GB"/>
              </w:rPr>
              <w:t>-0,2</w:t>
            </w:r>
          </w:p>
          <w:p w:rsidR="008A3715" w:rsidRDefault="008A3715" w:rsidP="004A42FB">
            <w:pPr>
              <w:pStyle w:val="Default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GB"/>
              </w:rPr>
              <w:t>-0,5</w:t>
            </w:r>
          </w:p>
          <w:p w:rsidR="008A3715" w:rsidRPr="00FE24BB" w:rsidRDefault="008A3715" w:rsidP="004A42F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lang w:val="en-GB"/>
              </w:rPr>
            </w:pPr>
          </w:p>
        </w:tc>
        <w:tc>
          <w:tcPr>
            <w:tcW w:w="3118" w:type="dxa"/>
          </w:tcPr>
          <w:p w:rsidR="008A3715" w:rsidRPr="008A3715" w:rsidRDefault="008A3715" w:rsidP="004A42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8A3715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Zmiana PKB/zatrudnienia (%)   w UE:</w:t>
            </w:r>
          </w:p>
          <w:p w:rsidR="008A3715" w:rsidRDefault="008A3715" w:rsidP="004A42FB">
            <w:pPr>
              <w:pStyle w:val="Default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GB"/>
              </w:rPr>
              <w:t>-0,06/-0,06</w:t>
            </w:r>
          </w:p>
          <w:p w:rsidR="008A3715" w:rsidRDefault="008A3715" w:rsidP="004A42FB">
            <w:pPr>
              <w:pStyle w:val="Default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GB"/>
              </w:rPr>
              <w:t>-0,8/-0,3</w:t>
            </w:r>
          </w:p>
          <w:p w:rsidR="008A3715" w:rsidRDefault="008A3715" w:rsidP="004A42FB">
            <w:pPr>
              <w:pStyle w:val="Default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GB"/>
              </w:rPr>
              <w:t>-1,5/-0,7</w:t>
            </w:r>
          </w:p>
          <w:p w:rsidR="008A3715" w:rsidRDefault="008A3715" w:rsidP="004A42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GB"/>
              </w:rPr>
            </w:pPr>
          </w:p>
          <w:p w:rsidR="008A3715" w:rsidRDefault="008A3715" w:rsidP="004A42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GB"/>
              </w:rPr>
            </w:pPr>
          </w:p>
          <w:p w:rsidR="008A3715" w:rsidRDefault="008A3715" w:rsidP="004A42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GB"/>
              </w:rPr>
            </w:pPr>
          </w:p>
          <w:p w:rsidR="008A3715" w:rsidRDefault="008A3715" w:rsidP="004A42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GB"/>
              </w:rPr>
              <w:t>Zmiana PKB (%) w UE:</w:t>
            </w:r>
          </w:p>
          <w:p w:rsidR="008A3715" w:rsidRDefault="008A3715" w:rsidP="004A42FB">
            <w:pPr>
              <w:pStyle w:val="Default"/>
              <w:ind w:left="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GB"/>
              </w:rPr>
              <w:t>1.    -0,2</w:t>
            </w:r>
          </w:p>
          <w:p w:rsidR="008A3715" w:rsidRDefault="008A3715" w:rsidP="004A42FB">
            <w:pPr>
              <w:pStyle w:val="Default"/>
              <w:ind w:left="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GB"/>
              </w:rPr>
              <w:t>2.    -0,5</w:t>
            </w:r>
          </w:p>
          <w:p w:rsidR="008A3715" w:rsidRPr="00FE24BB" w:rsidRDefault="008A3715" w:rsidP="004A42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8A3715" w:rsidRPr="00FE24BB" w:rsidTr="004A42FB">
        <w:trPr>
          <w:trHeight w:val="1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A3715" w:rsidRPr="008E0AB0" w:rsidRDefault="008A3715" w:rsidP="004A42FB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E0AB0">
              <w:rPr>
                <w:rFonts w:cstheme="minorHAnsi"/>
                <w:lang w:val="en-GB"/>
              </w:rPr>
              <w:t xml:space="preserve">Minford, Economists for Free Trade, </w:t>
            </w:r>
          </w:p>
          <w:p w:rsidR="008A3715" w:rsidRPr="008E0AB0" w:rsidRDefault="008A3715" w:rsidP="004A42FB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E0AB0">
              <w:rPr>
                <w:rFonts w:cstheme="minorHAnsi"/>
                <w:lang w:val="en-GB"/>
              </w:rPr>
              <w:t>How the Civil Service has misled us about the costs of Brexit and the Customs Union</w:t>
            </w:r>
          </w:p>
          <w:p w:rsidR="008A3715" w:rsidRPr="00FE24BB" w:rsidRDefault="008A3715" w:rsidP="004A42F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 w:rsidRPr="00FE24BB">
              <w:rPr>
                <w:rFonts w:cstheme="minorHAnsi"/>
              </w:rPr>
              <w:t>2018</w:t>
            </w:r>
          </w:p>
        </w:tc>
        <w:tc>
          <w:tcPr>
            <w:tcW w:w="5400" w:type="dxa"/>
          </w:tcPr>
          <w:p w:rsidR="008A3715" w:rsidRPr="008A3715" w:rsidRDefault="008A3715" w:rsidP="004A42F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lang w:val="en-GB"/>
              </w:rPr>
            </w:pPr>
            <w:r w:rsidRPr="008A3715">
              <w:rPr>
                <w:rFonts w:cstheme="minorHAnsi"/>
                <w:color w:val="404040" w:themeColor="text1" w:themeTint="BF"/>
                <w:lang w:val="en-GB"/>
              </w:rPr>
              <w:t xml:space="preserve">Model </w:t>
            </w:r>
            <w:r w:rsidRPr="00FE710A">
              <w:rPr>
                <w:rFonts w:cstheme="minorHAnsi"/>
                <w:color w:val="404040" w:themeColor="text1" w:themeTint="BF"/>
                <w:lang w:val="en-GB"/>
              </w:rPr>
              <w:t>GTAP (Global Trade Analysis Project).</w:t>
            </w:r>
          </w:p>
          <w:p w:rsidR="008A3715" w:rsidRDefault="008A3715" w:rsidP="004A42F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 w:rsidRPr="00FE24BB">
              <w:rPr>
                <w:rFonts w:cstheme="minorHAnsi"/>
                <w:color w:val="404040" w:themeColor="text1" w:themeTint="BF"/>
              </w:rPr>
              <w:t xml:space="preserve">Analiza zakłada jednostronną liberalizację handlu, minimalne negatywne skutki wynikające z taryf pozacłowych oraz korzyści z rozbieżności regulacyjnej. Nie uwzględnia się korzyści fiskalnych z tytułu składek do budżetu UE. </w:t>
            </w:r>
          </w:p>
          <w:p w:rsidR="008A3715" w:rsidRPr="008E0AB0" w:rsidRDefault="008A3715" w:rsidP="004A42F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t>Wyniki analizy: zmiana poziomu PKB do 2030 r.</w:t>
            </w:r>
          </w:p>
        </w:tc>
        <w:tc>
          <w:tcPr>
            <w:tcW w:w="1716" w:type="dxa"/>
          </w:tcPr>
          <w:p w:rsidR="008A3715" w:rsidRDefault="008A3715" w:rsidP="004A42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Skumulowana zmiana PKB (%): </w:t>
            </w:r>
          </w:p>
          <w:p w:rsidR="008A3715" w:rsidRPr="00FE24BB" w:rsidRDefault="008A3715" w:rsidP="004A42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FE24B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+4 </w:t>
            </w:r>
          </w:p>
        </w:tc>
        <w:tc>
          <w:tcPr>
            <w:tcW w:w="1707" w:type="dxa"/>
          </w:tcPr>
          <w:p w:rsidR="008A3715" w:rsidRPr="008A3715" w:rsidRDefault="008A3715" w:rsidP="004A42F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3118" w:type="dxa"/>
          </w:tcPr>
          <w:p w:rsidR="008A3715" w:rsidRPr="008A3715" w:rsidRDefault="008A3715" w:rsidP="004A42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8A3715" w:rsidRPr="00FE24BB" w:rsidTr="004A4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A3715" w:rsidRPr="007F699C" w:rsidRDefault="008A3715" w:rsidP="004A42FB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7F699C">
              <w:rPr>
                <w:rFonts w:cstheme="minorHAnsi"/>
                <w:lang w:val="en-GB"/>
              </w:rPr>
              <w:t xml:space="preserve">Mayer et al., CEPII, </w:t>
            </w:r>
          </w:p>
          <w:p w:rsidR="008A3715" w:rsidRPr="007F699C" w:rsidRDefault="008A3715" w:rsidP="004A42FB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7F699C">
              <w:rPr>
                <w:rFonts w:cstheme="minorHAnsi"/>
                <w:lang w:val="en-GB"/>
              </w:rPr>
              <w:t>The cost of non-Europe, revisited</w:t>
            </w:r>
          </w:p>
          <w:p w:rsidR="008A3715" w:rsidRPr="00FE24BB" w:rsidRDefault="008A3715" w:rsidP="004A42F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E24BB">
              <w:rPr>
                <w:rFonts w:cstheme="minorHAnsi"/>
              </w:rPr>
              <w:t>2018</w:t>
            </w:r>
          </w:p>
        </w:tc>
        <w:tc>
          <w:tcPr>
            <w:tcW w:w="5400" w:type="dxa"/>
          </w:tcPr>
          <w:p w:rsidR="008A3715" w:rsidRPr="00FE24BB" w:rsidRDefault="008A3715" w:rsidP="004A42F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 w:rsidRPr="00FE24BB">
              <w:rPr>
                <w:rFonts w:cstheme="minorHAnsi"/>
                <w:color w:val="404040" w:themeColor="text1" w:themeTint="BF"/>
              </w:rPr>
              <w:t xml:space="preserve">Strukturalny model grawitacyjny w ujęciu noworicardiańskim. </w:t>
            </w:r>
          </w:p>
          <w:p w:rsidR="008A3715" w:rsidRPr="00FE24BB" w:rsidRDefault="008A3715" w:rsidP="004A42F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t>Wyniki analizy: z</w:t>
            </w:r>
            <w:r w:rsidRPr="00FE24BB">
              <w:rPr>
                <w:rFonts w:cstheme="minorHAnsi"/>
                <w:color w:val="404040" w:themeColor="text1" w:themeTint="BF"/>
              </w:rPr>
              <w:t>miana</w:t>
            </w:r>
            <w:r>
              <w:rPr>
                <w:rFonts w:cstheme="minorHAnsi"/>
                <w:color w:val="404040" w:themeColor="text1" w:themeTint="BF"/>
              </w:rPr>
              <w:t xml:space="preserve"> konsumpcji realnej (dobrobytu).</w:t>
            </w:r>
          </w:p>
        </w:tc>
        <w:tc>
          <w:tcPr>
            <w:tcW w:w="1716" w:type="dxa"/>
          </w:tcPr>
          <w:p w:rsidR="008A3715" w:rsidRDefault="008A3715" w:rsidP="004A42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Zmiana konsumpcji (%):</w:t>
            </w:r>
          </w:p>
          <w:p w:rsidR="008A3715" w:rsidRPr="00FE24BB" w:rsidRDefault="008A3715" w:rsidP="004A42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FE24B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-2</w:t>
            </w: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,</w:t>
            </w:r>
            <w:r w:rsidRPr="00FE24B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9 </w:t>
            </w:r>
          </w:p>
        </w:tc>
        <w:tc>
          <w:tcPr>
            <w:tcW w:w="1707" w:type="dxa"/>
          </w:tcPr>
          <w:p w:rsidR="008A3715" w:rsidRPr="00FE24BB" w:rsidRDefault="008A3715" w:rsidP="004A42F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lang w:val="en-GB"/>
              </w:rPr>
            </w:pPr>
          </w:p>
        </w:tc>
        <w:tc>
          <w:tcPr>
            <w:tcW w:w="3118" w:type="dxa"/>
          </w:tcPr>
          <w:p w:rsidR="008A3715" w:rsidRPr="00FE24BB" w:rsidRDefault="008A3715" w:rsidP="004A42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8A3715" w:rsidRPr="00FE24BB" w:rsidTr="004A4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A3715" w:rsidRDefault="008A3715" w:rsidP="004A42F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Born et al.,</w:t>
            </w:r>
          </w:p>
          <w:p w:rsidR="008A3715" w:rsidRPr="00FE24BB" w:rsidRDefault="008A3715" w:rsidP="004A42FB">
            <w:pPr>
              <w:rPr>
                <w:rFonts w:cstheme="minorHAnsi"/>
                <w:lang w:val="en-US"/>
              </w:rPr>
            </w:pPr>
            <w:r w:rsidRPr="00FE24BB">
              <w:rPr>
                <w:rFonts w:cstheme="minorHAnsi"/>
                <w:lang w:val="en-US"/>
              </w:rPr>
              <w:t>The Economic Consequences of the Brexit Vote</w:t>
            </w:r>
          </w:p>
          <w:p w:rsidR="008A3715" w:rsidRPr="00FE24BB" w:rsidRDefault="008A3715" w:rsidP="004A42FB">
            <w:pPr>
              <w:rPr>
                <w:rFonts w:cstheme="minorHAnsi"/>
                <w:lang w:val="en-US"/>
              </w:rPr>
            </w:pPr>
            <w:r w:rsidRPr="00FE24BB">
              <w:rPr>
                <w:rFonts w:cstheme="minorHAnsi"/>
                <w:lang w:val="en-US"/>
              </w:rPr>
              <w:t>11.2017</w:t>
            </w:r>
          </w:p>
        </w:tc>
        <w:tc>
          <w:tcPr>
            <w:tcW w:w="5400" w:type="dxa"/>
          </w:tcPr>
          <w:p w:rsidR="008A3715" w:rsidRPr="008E0AB0" w:rsidRDefault="008A3715" w:rsidP="004A4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 w:rsidRPr="008E0AB0">
              <w:rPr>
                <w:rFonts w:cstheme="minorHAnsi"/>
                <w:color w:val="404040" w:themeColor="text1" w:themeTint="BF"/>
              </w:rPr>
              <w:t>Metoda syntetycznej kontroli.</w:t>
            </w:r>
          </w:p>
          <w:p w:rsidR="008A3715" w:rsidRPr="008E0AB0" w:rsidRDefault="008A3715" w:rsidP="004A4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t xml:space="preserve">Wyniki analizy: </w:t>
            </w:r>
            <w:r w:rsidRPr="008E0AB0">
              <w:rPr>
                <w:rFonts w:cstheme="minorHAnsi"/>
                <w:color w:val="404040" w:themeColor="text1" w:themeTint="BF"/>
              </w:rPr>
              <w:t>skumulowana zmiana</w:t>
            </w:r>
            <w:r>
              <w:rPr>
                <w:rFonts w:cstheme="minorHAnsi"/>
                <w:color w:val="404040" w:themeColor="text1" w:themeTint="BF"/>
              </w:rPr>
              <w:t xml:space="preserve"> tempa wzrostu</w:t>
            </w:r>
            <w:r w:rsidRPr="008E0AB0">
              <w:rPr>
                <w:rFonts w:cstheme="minorHAnsi"/>
                <w:color w:val="404040" w:themeColor="text1" w:themeTint="BF"/>
              </w:rPr>
              <w:t xml:space="preserve"> PKB w 2018Q4</w:t>
            </w:r>
            <w:r>
              <w:rPr>
                <w:rFonts w:cstheme="minorHAnsi"/>
                <w:color w:val="404040" w:themeColor="text1" w:themeTint="BF"/>
              </w:rPr>
              <w:t xml:space="preserve"> (p.p.)</w:t>
            </w:r>
            <w:r w:rsidRPr="008E0AB0">
              <w:rPr>
                <w:rFonts w:cstheme="minorHAnsi"/>
                <w:color w:val="404040" w:themeColor="text1" w:themeTint="BF"/>
              </w:rPr>
              <w:t>.</w:t>
            </w:r>
          </w:p>
        </w:tc>
        <w:tc>
          <w:tcPr>
            <w:tcW w:w="1716" w:type="dxa"/>
          </w:tcPr>
          <w:p w:rsidR="008A3715" w:rsidRPr="008E0AB0" w:rsidRDefault="008A3715" w:rsidP="004A4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 w:rsidRPr="008E0AB0">
              <w:rPr>
                <w:rFonts w:cstheme="minorHAnsi"/>
                <w:color w:val="404040" w:themeColor="text1" w:themeTint="BF"/>
              </w:rPr>
              <w:t xml:space="preserve">Zmiana PKB </w:t>
            </w:r>
            <w:r>
              <w:rPr>
                <w:rFonts w:cstheme="minorHAnsi"/>
                <w:color w:val="404040" w:themeColor="text1" w:themeTint="BF"/>
              </w:rPr>
              <w:t>(p.p.)</w:t>
            </w:r>
            <w:r w:rsidRPr="008E0AB0">
              <w:rPr>
                <w:rFonts w:cstheme="minorHAnsi"/>
                <w:color w:val="404040" w:themeColor="text1" w:themeTint="BF"/>
              </w:rPr>
              <w:t xml:space="preserve">: </w:t>
            </w:r>
            <w:r>
              <w:rPr>
                <w:rFonts w:cstheme="minorHAnsi"/>
                <w:color w:val="404040" w:themeColor="text1" w:themeTint="BF"/>
              </w:rPr>
              <w:noBreakHyphen/>
            </w:r>
            <w:r w:rsidRPr="008E0AB0">
              <w:rPr>
                <w:rFonts w:cstheme="minorHAnsi"/>
                <w:color w:val="404040" w:themeColor="text1" w:themeTint="BF"/>
              </w:rPr>
              <w:t>2</w:t>
            </w:r>
            <w:r>
              <w:rPr>
                <w:rFonts w:cstheme="minorHAnsi"/>
                <w:color w:val="404040" w:themeColor="text1" w:themeTint="BF"/>
              </w:rPr>
              <w:t>,</w:t>
            </w:r>
            <w:r w:rsidRPr="008E0AB0">
              <w:rPr>
                <w:rFonts w:cstheme="minorHAnsi"/>
                <w:color w:val="404040" w:themeColor="text1" w:themeTint="BF"/>
              </w:rPr>
              <w:t xml:space="preserve">2 </w:t>
            </w:r>
          </w:p>
        </w:tc>
        <w:tc>
          <w:tcPr>
            <w:tcW w:w="1707" w:type="dxa"/>
          </w:tcPr>
          <w:p w:rsidR="008A3715" w:rsidRPr="008E0AB0" w:rsidRDefault="008A3715" w:rsidP="004A4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3118" w:type="dxa"/>
          </w:tcPr>
          <w:p w:rsidR="008A3715" w:rsidRPr="008E0AB0" w:rsidRDefault="008A3715" w:rsidP="004A4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</w:tr>
      <w:tr w:rsidR="008A3715" w:rsidRPr="00FE24BB" w:rsidTr="004A4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A3715" w:rsidRPr="008E0AB0" w:rsidRDefault="008A3715" w:rsidP="004A42FB">
            <w:pPr>
              <w:rPr>
                <w:rFonts w:cstheme="minorHAnsi"/>
                <w:lang w:val="en-GB"/>
              </w:rPr>
            </w:pPr>
            <w:r w:rsidRPr="008E0AB0">
              <w:rPr>
                <w:rFonts w:cstheme="minorHAnsi"/>
                <w:lang w:val="en-GB"/>
              </w:rPr>
              <w:t>Dhingra et al, Centre for Economic Performance, London School of Economics,</w:t>
            </w:r>
          </w:p>
          <w:p w:rsidR="008A3715" w:rsidRPr="008E0AB0" w:rsidRDefault="008A3715" w:rsidP="004A42FB">
            <w:pPr>
              <w:rPr>
                <w:rFonts w:cstheme="minorHAnsi"/>
                <w:lang w:val="en-GB"/>
              </w:rPr>
            </w:pPr>
            <w:r w:rsidRPr="008E0AB0">
              <w:rPr>
                <w:rFonts w:cstheme="minorHAnsi"/>
                <w:lang w:val="en-GB"/>
              </w:rPr>
              <w:t xml:space="preserve"> The Costs and Benefits of Leaving the EU: Trade Effects </w:t>
            </w:r>
          </w:p>
          <w:p w:rsidR="008A3715" w:rsidRPr="00FE24BB" w:rsidRDefault="008A3715" w:rsidP="004A42FB">
            <w:pPr>
              <w:rPr>
                <w:rFonts w:cstheme="minorHAnsi"/>
                <w:lang w:val="en-US"/>
              </w:rPr>
            </w:pPr>
            <w:r w:rsidRPr="00FE24BB">
              <w:rPr>
                <w:rFonts w:cstheme="minorHAnsi"/>
              </w:rPr>
              <w:t>2017</w:t>
            </w:r>
          </w:p>
        </w:tc>
        <w:tc>
          <w:tcPr>
            <w:tcW w:w="5400" w:type="dxa"/>
          </w:tcPr>
          <w:p w:rsidR="008A3715" w:rsidRDefault="008A3715" w:rsidP="004A4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 w:rsidRPr="00FE24BB">
              <w:rPr>
                <w:rFonts w:cstheme="minorHAnsi"/>
                <w:color w:val="404040" w:themeColor="text1" w:themeTint="BF"/>
              </w:rPr>
              <w:t>Model noworicardiański zakładający straty wynikające z długookresowych różnic pomiędzy pozataryfowymi kosztam</w:t>
            </w:r>
            <w:r>
              <w:rPr>
                <w:rFonts w:cstheme="minorHAnsi"/>
                <w:color w:val="404040" w:themeColor="text1" w:themeTint="BF"/>
              </w:rPr>
              <w:t>i handlowymi wewnątrz UE i poza UE w 2 scenariuszach:</w:t>
            </w:r>
          </w:p>
          <w:p w:rsidR="008A3715" w:rsidRDefault="008A3715" w:rsidP="004A42FB">
            <w:pPr>
              <w:pStyle w:val="Akapitzlist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t>soft Brexit (zasady jak dla Norwegii)</w:t>
            </w:r>
          </w:p>
          <w:p w:rsidR="008A3715" w:rsidRPr="007D3169" w:rsidRDefault="008A3715" w:rsidP="004A42FB">
            <w:pPr>
              <w:pStyle w:val="Akapitzlist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t>hard Brexit (zasady WTO)</w:t>
            </w:r>
          </w:p>
          <w:p w:rsidR="008A3715" w:rsidRDefault="008A3715" w:rsidP="004A4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t>Wyniki analizy: z</w:t>
            </w:r>
            <w:r w:rsidRPr="00FE24BB">
              <w:rPr>
                <w:rFonts w:cstheme="minorHAnsi"/>
                <w:color w:val="404040" w:themeColor="text1" w:themeTint="BF"/>
              </w:rPr>
              <w:t>miana</w:t>
            </w:r>
            <w:r>
              <w:rPr>
                <w:rFonts w:cstheme="minorHAnsi"/>
                <w:color w:val="404040" w:themeColor="text1" w:themeTint="BF"/>
              </w:rPr>
              <w:t xml:space="preserve"> konsumpcji realnej (dobrobytu) do 2029 r. w przeliczeniu na gospodarstwo domowe.</w:t>
            </w:r>
          </w:p>
          <w:p w:rsidR="008A3715" w:rsidRPr="008A3715" w:rsidRDefault="008A3715" w:rsidP="004A4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t xml:space="preserve">Dodatkowo, zastosowano ujęcie dynamiczne w zakresie wpływu handlu na produktywność oraz Brexitu na FDI i imigrację. Wyniki analizy: zmiana dochodu per capita. </w:t>
            </w:r>
          </w:p>
        </w:tc>
        <w:tc>
          <w:tcPr>
            <w:tcW w:w="1716" w:type="dxa"/>
          </w:tcPr>
          <w:p w:rsidR="008A3715" w:rsidRDefault="008A3715" w:rsidP="004A4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t xml:space="preserve">Zmiana </w:t>
            </w:r>
            <w:r>
              <w:rPr>
                <w:rFonts w:cstheme="minorHAnsi"/>
                <w:color w:val="404040" w:themeColor="text1" w:themeTint="BF"/>
              </w:rPr>
              <w:t>do</w:t>
            </w:r>
            <w:r>
              <w:rPr>
                <w:rFonts w:cstheme="minorHAnsi"/>
                <w:color w:val="404040" w:themeColor="text1" w:themeTint="BF"/>
              </w:rPr>
              <w:t>brobyt</w:t>
            </w:r>
            <w:r>
              <w:rPr>
                <w:rFonts w:cstheme="minorHAnsi"/>
                <w:color w:val="404040" w:themeColor="text1" w:themeTint="BF"/>
              </w:rPr>
              <w:t xml:space="preserve">u </w:t>
            </w:r>
            <w:r>
              <w:rPr>
                <w:rFonts w:cstheme="minorHAnsi"/>
                <w:color w:val="404040" w:themeColor="text1" w:themeTint="BF"/>
              </w:rPr>
              <w:t>(%):</w:t>
            </w:r>
          </w:p>
          <w:p w:rsidR="008A3715" w:rsidRPr="00684EA7" w:rsidRDefault="008A3715" w:rsidP="004A42FB">
            <w:pPr>
              <w:pStyle w:val="Akapitzlist"/>
              <w:numPr>
                <w:ilvl w:val="0"/>
                <w:numId w:val="24"/>
              </w:numPr>
              <w:ind w:left="332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lang w:val="en-GB"/>
              </w:rPr>
            </w:pPr>
            <w:r>
              <w:rPr>
                <w:rFonts w:cstheme="minorHAnsi"/>
                <w:color w:val="404040" w:themeColor="text1" w:themeTint="BF"/>
              </w:rPr>
              <w:t>-</w:t>
            </w:r>
            <w:r w:rsidRPr="00684EA7">
              <w:rPr>
                <w:rFonts w:cstheme="minorHAnsi"/>
                <w:color w:val="404040" w:themeColor="text1" w:themeTint="BF"/>
              </w:rPr>
              <w:t xml:space="preserve"> 1,3</w:t>
            </w:r>
          </w:p>
          <w:p w:rsidR="008A3715" w:rsidRPr="00D646D0" w:rsidRDefault="008A3715" w:rsidP="004A42FB">
            <w:pPr>
              <w:pStyle w:val="Akapitzlist"/>
              <w:numPr>
                <w:ilvl w:val="0"/>
                <w:numId w:val="24"/>
              </w:numPr>
              <w:ind w:left="332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lang w:val="en-GB"/>
              </w:rPr>
            </w:pPr>
            <w:r>
              <w:rPr>
                <w:rFonts w:cstheme="minorHAnsi"/>
                <w:color w:val="404040" w:themeColor="text1" w:themeTint="BF"/>
              </w:rPr>
              <w:t>-2,7</w:t>
            </w:r>
            <w:r w:rsidRPr="007D3169">
              <w:rPr>
                <w:rFonts w:cstheme="minorHAnsi"/>
                <w:color w:val="404040" w:themeColor="text1" w:themeTint="BF"/>
              </w:rPr>
              <w:t xml:space="preserve"> </w:t>
            </w:r>
          </w:p>
          <w:p w:rsidR="008A3715" w:rsidRDefault="008A3715" w:rsidP="004A4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lang w:val="en-GB"/>
              </w:rPr>
            </w:pPr>
          </w:p>
          <w:p w:rsidR="008A3715" w:rsidRDefault="008A3715" w:rsidP="004A4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lang w:val="en-GB"/>
              </w:rPr>
            </w:pPr>
            <w:r>
              <w:rPr>
                <w:rFonts w:cstheme="minorHAnsi"/>
                <w:color w:val="404040" w:themeColor="text1" w:themeTint="BF"/>
                <w:lang w:val="en-GB"/>
              </w:rPr>
              <w:t xml:space="preserve">Zmiana dochodu per capita (%): </w:t>
            </w:r>
          </w:p>
          <w:p w:rsidR="008A3715" w:rsidRPr="00D646D0" w:rsidRDefault="008A3715" w:rsidP="004A4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lang w:val="en-GB"/>
              </w:rPr>
            </w:pPr>
            <w:r w:rsidRPr="00D646D0">
              <w:rPr>
                <w:rFonts w:cstheme="minorHAnsi"/>
                <w:color w:val="404040" w:themeColor="text1" w:themeTint="BF"/>
              </w:rPr>
              <w:t xml:space="preserve">- 6.3 </w:t>
            </w:r>
            <w:r>
              <w:rPr>
                <w:rFonts w:cstheme="minorHAnsi"/>
                <w:color w:val="404040" w:themeColor="text1" w:themeTint="BF"/>
              </w:rPr>
              <w:t>do - 9.4</w:t>
            </w:r>
          </w:p>
        </w:tc>
        <w:tc>
          <w:tcPr>
            <w:tcW w:w="1707" w:type="dxa"/>
          </w:tcPr>
          <w:p w:rsidR="008A3715" w:rsidRPr="00FE24BB" w:rsidRDefault="008A3715" w:rsidP="004A4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lang w:val="en-GB"/>
              </w:rPr>
            </w:pPr>
          </w:p>
        </w:tc>
        <w:tc>
          <w:tcPr>
            <w:tcW w:w="3118" w:type="dxa"/>
          </w:tcPr>
          <w:p w:rsidR="008A3715" w:rsidRPr="00FE24BB" w:rsidRDefault="008A3715" w:rsidP="004A4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lang w:val="en-GB"/>
              </w:rPr>
            </w:pPr>
          </w:p>
        </w:tc>
      </w:tr>
      <w:tr w:rsidR="008A3715" w:rsidRPr="00FE24BB" w:rsidTr="004A4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A3715" w:rsidRPr="00FE24BB" w:rsidRDefault="008A3715" w:rsidP="004A42FB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</w:pPr>
            <w:r w:rsidRPr="00FE24B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  <w:t xml:space="preserve">European Commission, </w:t>
            </w:r>
          </w:p>
          <w:p w:rsidR="008A3715" w:rsidRPr="00FE24BB" w:rsidRDefault="008A3715" w:rsidP="004A42FB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</w:pPr>
            <w:r w:rsidRPr="00FE24B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  <w:t>The economic outlook after the UK referendum</w:t>
            </w:r>
          </w:p>
          <w:p w:rsidR="008A3715" w:rsidRPr="00FE24BB" w:rsidRDefault="008A3715" w:rsidP="004A42FB">
            <w:pPr>
              <w:rPr>
                <w:rFonts w:cstheme="minorHAnsi"/>
                <w:lang w:val="en-US"/>
              </w:rPr>
            </w:pPr>
            <w:r w:rsidRPr="00FE24BB">
              <w:rPr>
                <w:rFonts w:cstheme="minorHAnsi"/>
                <w:lang w:val="en-US"/>
              </w:rPr>
              <w:t>A First Assessment for the Euro Area and the EU</w:t>
            </w:r>
          </w:p>
          <w:p w:rsidR="008A3715" w:rsidRPr="00FE24BB" w:rsidRDefault="008A3715" w:rsidP="004A42FB">
            <w:pPr>
              <w:rPr>
                <w:rFonts w:cstheme="minorHAnsi"/>
              </w:rPr>
            </w:pPr>
            <w:r w:rsidRPr="00FE24BB">
              <w:rPr>
                <w:rFonts w:cstheme="minorHAnsi"/>
                <w:lang w:val="en-US"/>
              </w:rPr>
              <w:t>07.2016</w:t>
            </w:r>
          </w:p>
        </w:tc>
        <w:tc>
          <w:tcPr>
            <w:tcW w:w="5400" w:type="dxa"/>
          </w:tcPr>
          <w:p w:rsidR="008A3715" w:rsidRPr="008E0AB0" w:rsidRDefault="008A3715" w:rsidP="004A42F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 w:rsidRPr="008E0AB0">
              <w:rPr>
                <w:rFonts w:cstheme="minorHAnsi"/>
                <w:color w:val="404040" w:themeColor="text1" w:themeTint="BF"/>
              </w:rPr>
              <w:t>Model KE QUEST</w:t>
            </w:r>
            <w:r>
              <w:rPr>
                <w:rFonts w:cstheme="minorHAnsi"/>
                <w:color w:val="404040" w:themeColor="text1" w:themeTint="BF"/>
              </w:rPr>
              <w:t xml:space="preserve"> (strukturalny model makroekonomiczny w ujęciu nowokeynesowskim)</w:t>
            </w:r>
            <w:r w:rsidRPr="008E0AB0">
              <w:rPr>
                <w:rFonts w:cstheme="minorHAnsi"/>
                <w:color w:val="404040" w:themeColor="text1" w:themeTint="BF"/>
              </w:rPr>
              <w:t xml:space="preserve"> w dwóch scenariuszach:</w:t>
            </w:r>
          </w:p>
          <w:p w:rsidR="008A3715" w:rsidRPr="008E0AB0" w:rsidRDefault="008A3715" w:rsidP="004A42F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E0AB0">
              <w:rPr>
                <w:rFonts w:asciiTheme="minorHAnsi" w:hAnsiTheme="minorHAnsi" w:cstheme="minorHAnsi"/>
                <w:color w:val="404040" w:themeColor="text1" w:themeTint="BF"/>
              </w:rPr>
              <w:t>umiarkowana niepewność dotycząca Brexitu oddziałująca w określonym okresie czasu</w:t>
            </w:r>
          </w:p>
          <w:p w:rsidR="008A3715" w:rsidRPr="008E0AB0" w:rsidRDefault="008A3715" w:rsidP="004A42F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E0AB0">
              <w:rPr>
                <w:rFonts w:asciiTheme="minorHAnsi" w:hAnsiTheme="minorHAnsi" w:cstheme="minorHAnsi"/>
                <w:color w:val="404040" w:themeColor="text1" w:themeTint="BF"/>
              </w:rPr>
              <w:t>przedłużając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>a</w:t>
            </w:r>
            <w:r w:rsidRPr="008E0AB0">
              <w:rPr>
                <w:rFonts w:asciiTheme="minorHAnsi" w:hAnsiTheme="minorHAnsi" w:cstheme="minorHAnsi"/>
                <w:color w:val="404040" w:themeColor="text1" w:themeTint="BF"/>
              </w:rPr>
              <w:t xml:space="preserve"> się niepewność w znacznie większym zakresie, zwiększająca 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się </w:t>
            </w:r>
            <w:r w:rsidRPr="008E0AB0">
              <w:rPr>
                <w:rFonts w:asciiTheme="minorHAnsi" w:hAnsiTheme="minorHAnsi" w:cstheme="minorHAnsi"/>
                <w:color w:val="404040" w:themeColor="text1" w:themeTint="BF"/>
              </w:rPr>
              <w:t>premi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>a</w:t>
            </w:r>
            <w:r w:rsidRPr="008E0AB0">
              <w:rPr>
                <w:rFonts w:asciiTheme="minorHAnsi" w:hAnsiTheme="minorHAnsi" w:cstheme="minorHAnsi"/>
                <w:color w:val="404040" w:themeColor="text1" w:themeTint="BF"/>
              </w:rPr>
              <w:t xml:space="preserve"> za ryzyko oraz idące za tym koszty finansowania. </w:t>
            </w:r>
          </w:p>
          <w:p w:rsidR="008A3715" w:rsidRPr="008E0AB0" w:rsidRDefault="008A3715" w:rsidP="004A42F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 w:rsidRPr="008E0AB0">
              <w:rPr>
                <w:rFonts w:cstheme="minorHAnsi"/>
                <w:color w:val="404040" w:themeColor="text1" w:themeTint="BF"/>
              </w:rPr>
              <w:t xml:space="preserve">Oba scenariusze zakładają 15% deprecjację funta. </w:t>
            </w:r>
          </w:p>
          <w:p w:rsidR="008A3715" w:rsidRPr="008E0AB0" w:rsidRDefault="008A3715" w:rsidP="004A42F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 w:rsidRPr="008E0AB0">
              <w:rPr>
                <w:rFonts w:cstheme="minorHAnsi"/>
                <w:color w:val="404040" w:themeColor="text1" w:themeTint="BF"/>
              </w:rPr>
              <w:t>Wyniki</w:t>
            </w:r>
            <w:r>
              <w:rPr>
                <w:rFonts w:cstheme="minorHAnsi"/>
                <w:color w:val="404040" w:themeColor="text1" w:themeTint="BF"/>
              </w:rPr>
              <w:t xml:space="preserve"> analizy:</w:t>
            </w:r>
            <w:r w:rsidRPr="008E0AB0">
              <w:rPr>
                <w:rFonts w:cstheme="minorHAnsi"/>
                <w:color w:val="404040" w:themeColor="text1" w:themeTint="BF"/>
              </w:rPr>
              <w:t xml:space="preserve"> skumulowany wpływ na wzrost PKB (%) w </w:t>
            </w:r>
            <w:r>
              <w:rPr>
                <w:rFonts w:cstheme="minorHAnsi"/>
                <w:color w:val="404040" w:themeColor="text1" w:themeTint="BF"/>
              </w:rPr>
              <w:t>o</w:t>
            </w:r>
            <w:r w:rsidRPr="008E0AB0">
              <w:rPr>
                <w:rFonts w:cstheme="minorHAnsi"/>
                <w:color w:val="404040" w:themeColor="text1" w:themeTint="BF"/>
              </w:rPr>
              <w:t xml:space="preserve">dniesieniu do scenariusza bazowego (sprzed referendum) w 2016 i 2017 r.   </w:t>
            </w:r>
          </w:p>
        </w:tc>
        <w:tc>
          <w:tcPr>
            <w:tcW w:w="1716" w:type="dxa"/>
          </w:tcPr>
          <w:p w:rsidR="008A3715" w:rsidRPr="008E0AB0" w:rsidRDefault="008A3715" w:rsidP="004A42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8E0AB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Zmiana wzrostu PKB (%):</w:t>
            </w:r>
          </w:p>
          <w:p w:rsidR="008A3715" w:rsidRPr="008E0AB0" w:rsidRDefault="008A3715" w:rsidP="004A42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8E0AB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1. -0,3 i -0,9 </w:t>
            </w:r>
          </w:p>
          <w:p w:rsidR="008A3715" w:rsidRPr="008E0AB0" w:rsidRDefault="008A3715" w:rsidP="004A42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8E0AB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2. -0,6 i -2,6 </w:t>
            </w:r>
          </w:p>
          <w:p w:rsidR="008A3715" w:rsidRPr="00FE24BB" w:rsidRDefault="008A3715" w:rsidP="004A4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1707" w:type="dxa"/>
          </w:tcPr>
          <w:p w:rsidR="008A3715" w:rsidRPr="00FE24BB" w:rsidRDefault="008A3715" w:rsidP="004A4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3118" w:type="dxa"/>
          </w:tcPr>
          <w:p w:rsidR="008A3715" w:rsidRPr="008E0AB0" w:rsidRDefault="008A3715" w:rsidP="004A42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8E0AB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Zmiana wzrostu PKB (%):</w:t>
            </w:r>
          </w:p>
          <w:p w:rsidR="008A3715" w:rsidRPr="008E0AB0" w:rsidRDefault="008A3715" w:rsidP="004A42FB">
            <w:pPr>
              <w:pStyle w:val="Default"/>
              <w:tabs>
                <w:tab w:val="left" w:pos="32"/>
                <w:tab w:val="left" w:pos="1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8E0AB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1. EU27: 0,0 i  -0,2 </w:t>
            </w:r>
          </w:p>
          <w:p w:rsidR="008A3715" w:rsidRPr="008E0AB0" w:rsidRDefault="008A3715" w:rsidP="004A42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8E0AB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EU28: -0,1 i -0,3 </w:t>
            </w:r>
          </w:p>
          <w:p w:rsidR="008A3715" w:rsidRPr="008E0AB0" w:rsidRDefault="008A3715" w:rsidP="004A42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8E0AB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EA: -0,1 i -0,2 </w:t>
            </w:r>
          </w:p>
          <w:p w:rsidR="008A3715" w:rsidRPr="008E0AB0" w:rsidRDefault="008A3715" w:rsidP="004A42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8E0AB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2. EU27: -0,2 i -0,5</w:t>
            </w:r>
          </w:p>
          <w:p w:rsidR="008A3715" w:rsidRPr="008E0AB0" w:rsidRDefault="008A3715" w:rsidP="004A42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8E0AB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EU28: -0,3 i -0,9</w:t>
            </w:r>
          </w:p>
          <w:p w:rsidR="008A3715" w:rsidRPr="00FE24BB" w:rsidRDefault="008A3715" w:rsidP="004A4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 w:rsidRPr="00FE24BB">
              <w:rPr>
                <w:rFonts w:cstheme="minorHAnsi"/>
                <w:color w:val="404040" w:themeColor="text1" w:themeTint="BF"/>
                <w:lang w:val="en-US"/>
              </w:rPr>
              <w:t>EA</w:t>
            </w:r>
            <w:r>
              <w:rPr>
                <w:rFonts w:cstheme="minorHAnsi"/>
                <w:color w:val="404040" w:themeColor="text1" w:themeTint="BF"/>
                <w:lang w:val="en-US"/>
              </w:rPr>
              <w:t xml:space="preserve">: </w:t>
            </w:r>
            <w:r w:rsidRPr="00FE24BB">
              <w:rPr>
                <w:rFonts w:cstheme="minorHAnsi"/>
                <w:color w:val="404040" w:themeColor="text1" w:themeTint="BF"/>
                <w:lang w:val="en-US"/>
              </w:rPr>
              <w:t xml:space="preserve">-0,2 </w:t>
            </w:r>
            <w:r>
              <w:rPr>
                <w:rFonts w:cstheme="minorHAnsi"/>
                <w:color w:val="404040" w:themeColor="text1" w:themeTint="BF"/>
                <w:lang w:val="en-US"/>
              </w:rPr>
              <w:t>i</w:t>
            </w:r>
            <w:r w:rsidRPr="00FE24BB">
              <w:rPr>
                <w:rFonts w:cstheme="minorHAnsi"/>
                <w:color w:val="404040" w:themeColor="text1" w:themeTint="BF"/>
                <w:lang w:val="en-US"/>
              </w:rPr>
              <w:t xml:space="preserve"> -0,5</w:t>
            </w:r>
          </w:p>
        </w:tc>
      </w:tr>
      <w:tr w:rsidR="008A3715" w:rsidRPr="00FE24BB" w:rsidTr="004A4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A3715" w:rsidRPr="00FE24BB" w:rsidRDefault="008A3715" w:rsidP="004A42FB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</w:pPr>
            <w:r w:rsidRPr="00FE24B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  <w:t>CPB Netherlands Bureau  for Economic Policy Analysis,</w:t>
            </w:r>
          </w:p>
          <w:p w:rsidR="008A3715" w:rsidRPr="00FE24BB" w:rsidRDefault="008A3715" w:rsidP="004A42FB">
            <w:pPr>
              <w:rPr>
                <w:rFonts w:cstheme="minorHAnsi"/>
                <w:lang w:val="en-US"/>
              </w:rPr>
            </w:pPr>
            <w:r w:rsidRPr="00FE24BB">
              <w:rPr>
                <w:rFonts w:cstheme="minorHAnsi"/>
                <w:lang w:val="en-US"/>
              </w:rPr>
              <w:lastRenderedPageBreak/>
              <w:t xml:space="preserve">Brexit Costs for the Netherlands Arise from Reduced Trade </w:t>
            </w:r>
          </w:p>
          <w:p w:rsidR="008A3715" w:rsidRPr="00FE24BB" w:rsidRDefault="008A3715" w:rsidP="004A42FB">
            <w:pPr>
              <w:rPr>
                <w:rFonts w:cstheme="minorHAnsi"/>
                <w:highlight w:val="yellow"/>
              </w:rPr>
            </w:pPr>
            <w:r w:rsidRPr="00FE24BB">
              <w:rPr>
                <w:rFonts w:cstheme="minorHAnsi"/>
                <w:lang w:val="en-US"/>
              </w:rPr>
              <w:t>07.2016</w:t>
            </w:r>
          </w:p>
        </w:tc>
        <w:tc>
          <w:tcPr>
            <w:tcW w:w="5400" w:type="dxa"/>
          </w:tcPr>
          <w:p w:rsidR="008A3715" w:rsidRPr="00FE24BB" w:rsidRDefault="008A3715" w:rsidP="004A4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lang w:val="en-US"/>
              </w:rPr>
            </w:pPr>
            <w:r w:rsidRPr="00FE24BB">
              <w:rPr>
                <w:rFonts w:cstheme="minorHAnsi"/>
                <w:color w:val="404040" w:themeColor="text1" w:themeTint="BF"/>
                <w:lang w:val="en-US"/>
              </w:rPr>
              <w:lastRenderedPageBreak/>
              <w:t>Analiza dwóch scenariuszy:</w:t>
            </w:r>
          </w:p>
          <w:p w:rsidR="008A3715" w:rsidRPr="008E0AB0" w:rsidRDefault="008A3715" w:rsidP="004A42FB">
            <w:pPr>
              <w:pStyle w:val="Akapitzlist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E0AB0">
              <w:rPr>
                <w:rFonts w:asciiTheme="minorHAnsi" w:hAnsiTheme="minorHAnsi" w:cstheme="minorHAnsi"/>
                <w:color w:val="404040" w:themeColor="text1" w:themeTint="BF"/>
              </w:rPr>
              <w:t>Porozumienie o wolnym handlu (FTA)</w:t>
            </w:r>
          </w:p>
          <w:p w:rsidR="008A3715" w:rsidRPr="008E0AB0" w:rsidRDefault="008A3715" w:rsidP="004A42FB">
            <w:pPr>
              <w:pStyle w:val="Akapitzlist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E0AB0">
              <w:rPr>
                <w:rFonts w:asciiTheme="minorHAnsi" w:hAnsiTheme="minorHAnsi" w:cstheme="minorHAnsi"/>
                <w:color w:val="404040" w:themeColor="text1" w:themeTint="BF"/>
              </w:rPr>
              <w:t>Wymiana handlowa w oparciu o zasady WTO</w:t>
            </w:r>
          </w:p>
          <w:p w:rsidR="008A3715" w:rsidRPr="008E0AB0" w:rsidRDefault="008A3715" w:rsidP="004A4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 w:rsidRPr="008E0AB0">
              <w:rPr>
                <w:rFonts w:cstheme="minorHAnsi"/>
                <w:color w:val="404040" w:themeColor="text1" w:themeTint="BF"/>
              </w:rPr>
              <w:t xml:space="preserve">Wyniki </w:t>
            </w:r>
            <w:r>
              <w:rPr>
                <w:rFonts w:cstheme="minorHAnsi"/>
                <w:color w:val="404040" w:themeColor="text1" w:themeTint="BF"/>
              </w:rPr>
              <w:t xml:space="preserve">analizy: </w:t>
            </w:r>
            <w:r w:rsidRPr="008E0AB0">
              <w:rPr>
                <w:rFonts w:cstheme="minorHAnsi"/>
                <w:color w:val="404040" w:themeColor="text1" w:themeTint="BF"/>
              </w:rPr>
              <w:t>zmiana PKB (%) w 2030 r.</w:t>
            </w:r>
          </w:p>
        </w:tc>
        <w:tc>
          <w:tcPr>
            <w:tcW w:w="1716" w:type="dxa"/>
          </w:tcPr>
          <w:p w:rsidR="008A3715" w:rsidRPr="007A5B4B" w:rsidRDefault="008A3715" w:rsidP="004A42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8A3715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Zmiana PKB (%): 1</w:t>
            </w:r>
            <w:r w:rsidRPr="007A5B4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O</w:t>
            </w:r>
            <w:r w:rsidRPr="007A5B4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d -2 do -2,59</w:t>
            </w:r>
          </w:p>
          <w:p w:rsidR="008A3715" w:rsidRPr="007A5B4B" w:rsidRDefault="008A3715" w:rsidP="004A42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7A5B4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2.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od </w:t>
            </w:r>
            <w:r w:rsidRPr="007A5B4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-2</w:t>
            </w: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,</w:t>
            </w:r>
            <w:r w:rsidRPr="007A5B4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7 do -8</w:t>
            </w: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,</w:t>
            </w:r>
            <w:r w:rsidRPr="007A5B4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7</w:t>
            </w:r>
          </w:p>
          <w:p w:rsidR="008A3715" w:rsidRPr="008A3715" w:rsidRDefault="008A3715" w:rsidP="004A42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  <w:p w:rsidR="008A3715" w:rsidRPr="00FE24BB" w:rsidRDefault="008A3715" w:rsidP="004A4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highlight w:val="yellow"/>
              </w:rPr>
            </w:pPr>
          </w:p>
        </w:tc>
        <w:tc>
          <w:tcPr>
            <w:tcW w:w="1707" w:type="dxa"/>
          </w:tcPr>
          <w:p w:rsidR="008A3715" w:rsidRPr="00FE24BB" w:rsidRDefault="008A3715" w:rsidP="004A4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highlight w:val="yellow"/>
              </w:rPr>
            </w:pPr>
          </w:p>
        </w:tc>
        <w:tc>
          <w:tcPr>
            <w:tcW w:w="3118" w:type="dxa"/>
          </w:tcPr>
          <w:p w:rsidR="008A3715" w:rsidRPr="00FE24BB" w:rsidRDefault="008A3715" w:rsidP="004A4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highlight w:val="yellow"/>
              </w:rPr>
            </w:pPr>
          </w:p>
        </w:tc>
      </w:tr>
      <w:tr w:rsidR="008A3715" w:rsidRPr="00FE24BB" w:rsidTr="004A4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A3715" w:rsidRPr="00FE24BB" w:rsidRDefault="008A3715" w:rsidP="004A42FB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</w:pPr>
            <w:r w:rsidRPr="00FE24B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  <w:t>CPB Netherlands Bureau  for Economic Policy Analysis,</w:t>
            </w:r>
          </w:p>
          <w:p w:rsidR="008A3715" w:rsidRPr="00FE24BB" w:rsidRDefault="008A3715" w:rsidP="004A42FB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</w:pPr>
            <w:r w:rsidRPr="00FE24B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  <w:t xml:space="preserve">Trade effects of Brexit for the Netherlands </w:t>
            </w:r>
          </w:p>
          <w:p w:rsidR="008A3715" w:rsidRPr="00FE24BB" w:rsidRDefault="008A3715" w:rsidP="004A42F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E24B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  <w:t>06.2016</w:t>
            </w:r>
          </w:p>
        </w:tc>
        <w:tc>
          <w:tcPr>
            <w:tcW w:w="5400" w:type="dxa"/>
          </w:tcPr>
          <w:p w:rsidR="008A3715" w:rsidRPr="00FE24BB" w:rsidRDefault="008A3715" w:rsidP="004A4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lang w:val="en-US"/>
              </w:rPr>
            </w:pPr>
            <w:r w:rsidRPr="00FE24BB">
              <w:rPr>
                <w:rFonts w:cstheme="minorHAnsi"/>
                <w:color w:val="404040" w:themeColor="text1" w:themeTint="BF"/>
                <w:lang w:val="en-US"/>
              </w:rPr>
              <w:t>Analiza dwóch scenariuszy:</w:t>
            </w:r>
          </w:p>
          <w:p w:rsidR="008A3715" w:rsidRPr="008E0AB0" w:rsidRDefault="008A3715" w:rsidP="004A42FB">
            <w:pPr>
              <w:pStyle w:val="Akapitzlist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E0AB0">
              <w:rPr>
                <w:rFonts w:asciiTheme="minorHAnsi" w:hAnsiTheme="minorHAnsi" w:cstheme="minorHAnsi"/>
                <w:color w:val="404040" w:themeColor="text1" w:themeTint="BF"/>
              </w:rPr>
              <w:t>Porozumienie o wolnym handlu (FTA)</w:t>
            </w:r>
          </w:p>
          <w:p w:rsidR="008A3715" w:rsidRPr="008E0AB0" w:rsidRDefault="008A3715" w:rsidP="004A42FB">
            <w:pPr>
              <w:pStyle w:val="Akapitzlist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E0AB0">
              <w:rPr>
                <w:rFonts w:asciiTheme="minorHAnsi" w:hAnsiTheme="minorHAnsi" w:cstheme="minorHAnsi"/>
                <w:color w:val="404040" w:themeColor="text1" w:themeTint="BF"/>
              </w:rPr>
              <w:t>Wymiana handlowa w oparciu o zasady WTO</w:t>
            </w:r>
          </w:p>
          <w:p w:rsidR="008A3715" w:rsidRPr="008E0AB0" w:rsidRDefault="008A3715" w:rsidP="004A4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 w:rsidRPr="008E0AB0">
              <w:rPr>
                <w:rFonts w:cstheme="minorHAnsi"/>
                <w:color w:val="404040" w:themeColor="text1" w:themeTint="BF"/>
              </w:rPr>
              <w:t xml:space="preserve">Wyniki </w:t>
            </w:r>
            <w:r>
              <w:rPr>
                <w:rFonts w:cstheme="minorHAnsi"/>
                <w:color w:val="404040" w:themeColor="text1" w:themeTint="BF"/>
              </w:rPr>
              <w:t xml:space="preserve">analizy: </w:t>
            </w:r>
            <w:r w:rsidRPr="008E0AB0">
              <w:rPr>
                <w:rFonts w:cstheme="minorHAnsi"/>
                <w:color w:val="404040" w:themeColor="text1" w:themeTint="BF"/>
              </w:rPr>
              <w:t>zmiana PKB (%) w 2030 r.</w:t>
            </w:r>
          </w:p>
        </w:tc>
        <w:tc>
          <w:tcPr>
            <w:tcW w:w="1716" w:type="dxa"/>
          </w:tcPr>
          <w:p w:rsidR="008A3715" w:rsidRPr="00FE24BB" w:rsidRDefault="008A3715" w:rsidP="004A42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US"/>
              </w:rPr>
              <w:t xml:space="preserve">Zmiana PKB (%): </w:t>
            </w:r>
            <w:r w:rsidRPr="00FE24B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US"/>
              </w:rPr>
              <w:t xml:space="preserve">1.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US"/>
              </w:rPr>
              <w:t xml:space="preserve">- </w:t>
            </w:r>
            <w:r w:rsidRPr="00FE24B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US"/>
              </w:rPr>
              <w:t>3,4</w:t>
            </w:r>
          </w:p>
          <w:p w:rsidR="008A3715" w:rsidRPr="00FE24BB" w:rsidRDefault="008A3715" w:rsidP="004A42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US"/>
              </w:rPr>
            </w:pPr>
            <w:r w:rsidRPr="00FE24B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US"/>
              </w:rPr>
              <w:t xml:space="preserve">2.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US"/>
              </w:rPr>
              <w:t xml:space="preserve">- </w:t>
            </w:r>
            <w:r w:rsidRPr="00FE24B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US"/>
              </w:rPr>
              <w:t>4,1</w:t>
            </w:r>
          </w:p>
          <w:p w:rsidR="008A3715" w:rsidRPr="00FE24BB" w:rsidRDefault="008A3715" w:rsidP="004A42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GB"/>
              </w:rPr>
            </w:pPr>
          </w:p>
        </w:tc>
        <w:tc>
          <w:tcPr>
            <w:tcW w:w="1707" w:type="dxa"/>
          </w:tcPr>
          <w:p w:rsidR="008A3715" w:rsidRPr="00FE24BB" w:rsidRDefault="008A3715" w:rsidP="004A42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US"/>
              </w:rPr>
              <w:t xml:space="preserve">Zmiana PKB (%): </w:t>
            </w:r>
            <w:r w:rsidRPr="00FE24B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US"/>
              </w:rPr>
              <w:t xml:space="preserve">1.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US"/>
              </w:rPr>
              <w:t xml:space="preserve">- </w:t>
            </w:r>
            <w:r w:rsidRPr="00FE24B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US"/>
              </w:rPr>
              <w:t>0,6</w:t>
            </w:r>
          </w:p>
          <w:p w:rsidR="008A3715" w:rsidRPr="00FE24BB" w:rsidRDefault="008A3715" w:rsidP="004A42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US"/>
              </w:rPr>
            </w:pPr>
            <w:r w:rsidRPr="00FE24B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US"/>
              </w:rPr>
              <w:t xml:space="preserve">2.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US"/>
              </w:rPr>
              <w:t xml:space="preserve">- </w:t>
            </w:r>
            <w:r w:rsidRPr="00FE24B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US"/>
              </w:rPr>
              <w:t>0,4</w:t>
            </w:r>
          </w:p>
          <w:p w:rsidR="008A3715" w:rsidRPr="00FE24BB" w:rsidRDefault="008A3715" w:rsidP="004A4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lang w:val="en-GB"/>
              </w:rPr>
            </w:pPr>
          </w:p>
        </w:tc>
        <w:tc>
          <w:tcPr>
            <w:tcW w:w="3118" w:type="dxa"/>
          </w:tcPr>
          <w:p w:rsidR="008A3715" w:rsidRDefault="008A3715" w:rsidP="004A42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US"/>
              </w:rPr>
              <w:t xml:space="preserve">Zmiana PKB (%): </w:t>
            </w:r>
          </w:p>
          <w:p w:rsidR="008A3715" w:rsidRPr="00FE24BB" w:rsidRDefault="008A3715" w:rsidP="004A42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US"/>
              </w:rPr>
            </w:pPr>
            <w:r w:rsidRPr="00FE24B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US"/>
              </w:rPr>
              <w:t xml:space="preserve">1.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US"/>
              </w:rPr>
              <w:t xml:space="preserve">- </w:t>
            </w:r>
            <w:r w:rsidRPr="00FE24B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US"/>
              </w:rPr>
              <w:t>0,8</w:t>
            </w: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US"/>
              </w:rPr>
              <w:t xml:space="preserve"> (UE)</w:t>
            </w:r>
          </w:p>
          <w:p w:rsidR="008A3715" w:rsidRPr="00FE24BB" w:rsidRDefault="008A3715" w:rsidP="004A42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US"/>
              </w:rPr>
            </w:pPr>
            <w:r w:rsidRPr="00FE24B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US"/>
              </w:rPr>
              <w:t xml:space="preserve">2.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US"/>
              </w:rPr>
              <w:t xml:space="preserve">- </w:t>
            </w:r>
            <w:r w:rsidRPr="00FE24B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US"/>
              </w:rPr>
              <w:t xml:space="preserve">0,6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US"/>
              </w:rPr>
              <w:t>(UE)</w:t>
            </w:r>
          </w:p>
          <w:p w:rsidR="008A3715" w:rsidRPr="00FE24BB" w:rsidRDefault="008A3715" w:rsidP="004A4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lang w:val="en-GB"/>
              </w:rPr>
            </w:pPr>
          </w:p>
        </w:tc>
      </w:tr>
      <w:tr w:rsidR="008A3715" w:rsidRPr="00FE24BB" w:rsidTr="004A4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A3715" w:rsidRPr="00FE24BB" w:rsidRDefault="008A3715" w:rsidP="004A42FB">
            <w:pPr>
              <w:pStyle w:val="Default"/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  <w:szCs w:val="22"/>
                <w:lang w:val="en-US"/>
              </w:rPr>
            </w:pPr>
            <w:r w:rsidRPr="00FE24B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  <w:t>Oxford Economics,</w:t>
            </w:r>
          </w:p>
          <w:p w:rsidR="008A3715" w:rsidRPr="00FE24BB" w:rsidRDefault="008A3715" w:rsidP="004A42FB">
            <w:pPr>
              <w:pStyle w:val="Default"/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  <w:szCs w:val="22"/>
                <w:lang w:val="en-US"/>
              </w:rPr>
            </w:pPr>
            <w:r w:rsidRPr="00FE24B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  <w:t>Assessing the economic</w:t>
            </w:r>
          </w:p>
          <w:p w:rsidR="008A3715" w:rsidRPr="00FE24BB" w:rsidRDefault="008A3715" w:rsidP="004A42FB">
            <w:pPr>
              <w:pStyle w:val="Default"/>
              <w:rPr>
                <w:rFonts w:asciiTheme="minorHAnsi" w:hAnsiTheme="minorHAnsi" w:cstheme="minorHAnsi"/>
                <w:bCs w:val="0"/>
                <w:sz w:val="22"/>
                <w:szCs w:val="22"/>
                <w:lang w:val="en-US"/>
              </w:rPr>
            </w:pPr>
            <w:r w:rsidRPr="00FE24B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  <w:t>implications of Brexit 05.2016</w:t>
            </w:r>
          </w:p>
        </w:tc>
        <w:tc>
          <w:tcPr>
            <w:tcW w:w="5400" w:type="dxa"/>
          </w:tcPr>
          <w:p w:rsidR="008A3715" w:rsidRPr="00FE24BB" w:rsidRDefault="008A3715" w:rsidP="004A42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8E0AB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9 scenariuszy</w:t>
            </w: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:</w:t>
            </w:r>
            <w:r w:rsidRPr="008E0AB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od pozostania w unii celnej do powrotu do zasad WTO, wszystkie uwzględniają liberalizację handlu bądź działania protekcjonistyczne oraz migrację). </w:t>
            </w:r>
          </w:p>
          <w:p w:rsidR="008A3715" w:rsidRPr="008E0AB0" w:rsidRDefault="008A3715" w:rsidP="004A42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lang w:val="en-GB"/>
              </w:rPr>
            </w:pPr>
            <w:r w:rsidRPr="008E0AB0">
              <w:rPr>
                <w:rFonts w:cstheme="minorHAnsi"/>
                <w:color w:val="404040" w:themeColor="text1" w:themeTint="BF"/>
                <w:lang w:val="en-GB"/>
              </w:rPr>
              <w:t>Oxford Economics’ Global Economic Model.</w:t>
            </w:r>
          </w:p>
          <w:p w:rsidR="008A3715" w:rsidRPr="008E0AB0" w:rsidRDefault="008A3715" w:rsidP="004A42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t>Wyniki analizy: różnica w poziomie PKB w 2020Q4 w porównaniu z prognozą zakładającą porozumienie UK-UE.</w:t>
            </w:r>
          </w:p>
        </w:tc>
        <w:tc>
          <w:tcPr>
            <w:tcW w:w="1716" w:type="dxa"/>
          </w:tcPr>
          <w:p w:rsidR="008A3715" w:rsidRDefault="008A3715" w:rsidP="004A42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US"/>
              </w:rPr>
              <w:t>Zmiana PKB (%):</w:t>
            </w:r>
          </w:p>
          <w:p w:rsidR="008A3715" w:rsidRPr="00FE24BB" w:rsidRDefault="008A3715" w:rsidP="004A42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US"/>
              </w:rPr>
              <w:t>o</w:t>
            </w:r>
            <w:r w:rsidRPr="00FE24B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US"/>
              </w:rPr>
              <w:t>d -0</w:t>
            </w: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US"/>
              </w:rPr>
              <w:t>,</w:t>
            </w:r>
            <w:r w:rsidRPr="00FE24B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US"/>
              </w:rPr>
              <w:t>1</w:t>
            </w: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US"/>
              </w:rPr>
              <w:t xml:space="preserve"> </w:t>
            </w:r>
            <w:r w:rsidRPr="00FE24B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US"/>
              </w:rPr>
              <w:t>do -3</w:t>
            </w: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US"/>
              </w:rPr>
              <w:t>,</w:t>
            </w:r>
            <w:r w:rsidRPr="00FE24B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US"/>
              </w:rPr>
              <w:t xml:space="preserve">9 </w:t>
            </w:r>
          </w:p>
        </w:tc>
        <w:tc>
          <w:tcPr>
            <w:tcW w:w="1707" w:type="dxa"/>
          </w:tcPr>
          <w:p w:rsidR="008A3715" w:rsidRDefault="008A3715" w:rsidP="004A42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US"/>
              </w:rPr>
              <w:t>Zmiana PKB (%):</w:t>
            </w:r>
          </w:p>
          <w:p w:rsidR="008A3715" w:rsidRPr="00FE24BB" w:rsidRDefault="008A3715" w:rsidP="004A42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US"/>
              </w:rPr>
            </w:pPr>
            <w:r w:rsidRPr="00FE24B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- 0</w:t>
            </w: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,</w:t>
            </w:r>
            <w:r w:rsidRPr="00FE24B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8 </w:t>
            </w:r>
          </w:p>
        </w:tc>
        <w:tc>
          <w:tcPr>
            <w:tcW w:w="3118" w:type="dxa"/>
          </w:tcPr>
          <w:p w:rsidR="008A3715" w:rsidRPr="00FE24BB" w:rsidRDefault="008A3715" w:rsidP="004A42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US"/>
              </w:rPr>
            </w:pPr>
          </w:p>
        </w:tc>
      </w:tr>
      <w:tr w:rsidR="008A3715" w:rsidRPr="00FE24BB" w:rsidTr="004A42FB">
        <w:trPr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A3715" w:rsidRPr="00FE24BB" w:rsidRDefault="008A3715" w:rsidP="004A42FB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</w:pPr>
            <w:r w:rsidRPr="00FE24B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  <w:t xml:space="preserve">HM Treasury, </w:t>
            </w:r>
          </w:p>
          <w:p w:rsidR="008A3715" w:rsidRPr="00FE24BB" w:rsidRDefault="008A3715" w:rsidP="004A42F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E24B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  <w:t>The long-term economic impact of EU membership and the alternatives 04.2016</w:t>
            </w:r>
          </w:p>
        </w:tc>
        <w:tc>
          <w:tcPr>
            <w:tcW w:w="5400" w:type="dxa"/>
          </w:tcPr>
          <w:p w:rsidR="008A3715" w:rsidRPr="008A3715" w:rsidRDefault="008A3715" w:rsidP="004A42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8A3715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Model grawitacyjny w 3 wariantach: </w:t>
            </w:r>
          </w:p>
          <w:p w:rsidR="008A3715" w:rsidRPr="008E0AB0" w:rsidRDefault="008A3715" w:rsidP="004A42FB">
            <w:pPr>
              <w:pStyle w:val="Default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1. </w:t>
            </w:r>
            <w:r w:rsidRPr="008E0AB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Przynależność UK do Europejskiego Obszaru Gospodarczego (EEA), jak Norwegia</w:t>
            </w:r>
          </w:p>
          <w:p w:rsidR="008A3715" w:rsidRPr="008E0AB0" w:rsidRDefault="008A3715" w:rsidP="004A42FB">
            <w:pPr>
              <w:pStyle w:val="Default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2. </w:t>
            </w:r>
            <w:r w:rsidRPr="008E0AB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Bilateralna umowa, jak pomiędzy UE a Szwajcarią, Turcją lub Kanadą</w:t>
            </w:r>
          </w:p>
          <w:p w:rsidR="008A3715" w:rsidRPr="008E0AB0" w:rsidRDefault="008A3715" w:rsidP="004A42FB">
            <w:pPr>
              <w:pStyle w:val="Default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3. </w:t>
            </w:r>
            <w:r w:rsidRPr="008E0AB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Przynależność do WTO bez dodatkowej umowy z UE, jak Rosja czy Brazylia </w:t>
            </w:r>
          </w:p>
          <w:p w:rsidR="008A3715" w:rsidRPr="008E0AB0" w:rsidRDefault="008A3715" w:rsidP="004A42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8E0AB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Wyniki</w:t>
            </w: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</w:t>
            </w:r>
            <w:r w:rsidRPr="00702AC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analizy:</w:t>
            </w:r>
            <w:r w:rsidRPr="008E0AB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roczny wpływ Brexitu na PKB (%) w porównaniu do pozostania w UE przez 15 lat.</w:t>
            </w:r>
          </w:p>
        </w:tc>
        <w:tc>
          <w:tcPr>
            <w:tcW w:w="1716" w:type="dxa"/>
          </w:tcPr>
          <w:p w:rsidR="008A3715" w:rsidRPr="008E0AB0" w:rsidRDefault="008A3715" w:rsidP="004A42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8E0AB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Zmiana PKB (%):</w:t>
            </w:r>
          </w:p>
          <w:p w:rsidR="008A3715" w:rsidRPr="008E0AB0" w:rsidRDefault="008A3715" w:rsidP="004A42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8E0AB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1.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od </w:t>
            </w:r>
            <w:r w:rsidRPr="008E0AB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-3,4 do -4,3 </w:t>
            </w:r>
          </w:p>
          <w:p w:rsidR="008A3715" w:rsidRPr="008E0AB0" w:rsidRDefault="008A3715" w:rsidP="004A42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8E0AB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2.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od </w:t>
            </w:r>
            <w:r w:rsidRPr="008E0AB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-4,6 do -7,8 </w:t>
            </w:r>
          </w:p>
          <w:p w:rsidR="008A3715" w:rsidRPr="008E0AB0" w:rsidRDefault="008A3715" w:rsidP="004A42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8E0AB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3.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od </w:t>
            </w:r>
            <w:r w:rsidRPr="008E0AB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-5,4 do -9,5</w:t>
            </w:r>
          </w:p>
        </w:tc>
        <w:tc>
          <w:tcPr>
            <w:tcW w:w="1707" w:type="dxa"/>
          </w:tcPr>
          <w:p w:rsidR="008A3715" w:rsidRPr="008E0AB0" w:rsidRDefault="008A3715" w:rsidP="004A42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118" w:type="dxa"/>
          </w:tcPr>
          <w:p w:rsidR="008A3715" w:rsidRPr="008E0AB0" w:rsidRDefault="008A3715" w:rsidP="004A42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8A3715" w:rsidRPr="00FE24BB" w:rsidTr="004A4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A3715" w:rsidRPr="00FE24BB" w:rsidRDefault="008A3715" w:rsidP="004A42FB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</w:pPr>
            <w:r w:rsidRPr="00FE24B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  <w:t>OECD,</w:t>
            </w:r>
          </w:p>
          <w:p w:rsidR="008A3715" w:rsidRPr="00FE24BB" w:rsidRDefault="008A3715" w:rsidP="004A42FB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</w:pPr>
            <w:r w:rsidRPr="00FE24B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  <w:t>The economic consequences of Brexit: a taxing decision</w:t>
            </w:r>
          </w:p>
          <w:p w:rsidR="008A3715" w:rsidRPr="00FE24BB" w:rsidRDefault="008A3715" w:rsidP="004A42FB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</w:pPr>
            <w:r w:rsidRPr="00FE24B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  <w:t>04.2016</w:t>
            </w:r>
          </w:p>
        </w:tc>
        <w:tc>
          <w:tcPr>
            <w:tcW w:w="5400" w:type="dxa"/>
          </w:tcPr>
          <w:p w:rsidR="008A3715" w:rsidRPr="007F699C" w:rsidRDefault="008A3715" w:rsidP="004A42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7F699C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US"/>
              </w:rPr>
              <w:t xml:space="preserve">The National Institute Global Econometric Model (NiGEM).  </w:t>
            </w:r>
            <w:r w:rsidRPr="007F699C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Założenie o endogeniczności polityki pieniężnej i kursu walutowego, szoki podażowe są przewidywane przez przedsiębiorstwa i gospodarstwa domowe a cele budżetowe pozostają bez zmian, czyli wszelkie dodatkowe wydatki muszą być kompensowane innymi przesunięciami. </w:t>
            </w:r>
          </w:p>
          <w:p w:rsidR="008A3715" w:rsidRPr="007F699C" w:rsidRDefault="008A3715" w:rsidP="004A42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7F699C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lastRenderedPageBreak/>
              <w:t>Wyniki analizy: zmiana PKB (%) w 2020 i 2030 r.</w:t>
            </w:r>
          </w:p>
        </w:tc>
        <w:tc>
          <w:tcPr>
            <w:tcW w:w="1716" w:type="dxa"/>
          </w:tcPr>
          <w:p w:rsidR="008A3715" w:rsidRPr="007F699C" w:rsidRDefault="008A3715" w:rsidP="004A42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7F699C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lastRenderedPageBreak/>
              <w:t>Zmiana PKB (%):</w:t>
            </w:r>
          </w:p>
          <w:p w:rsidR="008A3715" w:rsidRPr="007F699C" w:rsidRDefault="008A3715" w:rsidP="004A42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7F699C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1.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w</w:t>
            </w:r>
            <w:r w:rsidRPr="007F699C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2020 r.</w:t>
            </w:r>
          </w:p>
          <w:p w:rsidR="008A3715" w:rsidRPr="007F699C" w:rsidRDefault="008A3715" w:rsidP="004A42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7F699C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-3,3</w:t>
            </w:r>
          </w:p>
          <w:p w:rsidR="008A3715" w:rsidRPr="007F699C" w:rsidRDefault="008A3715" w:rsidP="004A42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7F699C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2.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w</w:t>
            </w:r>
            <w:r w:rsidRPr="007F699C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2030 r. od</w:t>
            </w:r>
          </w:p>
          <w:p w:rsidR="008A3715" w:rsidRPr="007F699C" w:rsidRDefault="008A3715" w:rsidP="004A42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7F699C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-2,7 do -7,7 </w:t>
            </w:r>
          </w:p>
        </w:tc>
        <w:tc>
          <w:tcPr>
            <w:tcW w:w="1707" w:type="dxa"/>
          </w:tcPr>
          <w:p w:rsidR="008A3715" w:rsidRPr="007F699C" w:rsidRDefault="008A3715" w:rsidP="004A42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118" w:type="dxa"/>
          </w:tcPr>
          <w:p w:rsidR="008A3715" w:rsidRPr="008E0AB0" w:rsidRDefault="008A3715" w:rsidP="004A42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8A3715" w:rsidRPr="00FE24BB" w:rsidTr="004A4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A3715" w:rsidRPr="007F699C" w:rsidRDefault="008A3715" w:rsidP="004A42FB">
            <w:pPr>
              <w:pStyle w:val="Default"/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  <w:szCs w:val="22"/>
                <w:lang w:val="en-GB"/>
              </w:rPr>
            </w:pPr>
            <w:r w:rsidRPr="007F699C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GB"/>
              </w:rPr>
              <w:t>PWC,</w:t>
            </w:r>
          </w:p>
          <w:p w:rsidR="008A3715" w:rsidRPr="007F699C" w:rsidRDefault="008A3715" w:rsidP="004A42FB">
            <w:pPr>
              <w:pStyle w:val="Default"/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  <w:szCs w:val="22"/>
                <w:lang w:val="en-GB"/>
              </w:rPr>
            </w:pPr>
            <w:r w:rsidRPr="007F699C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GB"/>
              </w:rPr>
              <w:t xml:space="preserve">Leaving the EU: Implications for the UK economy </w:t>
            </w:r>
          </w:p>
          <w:p w:rsidR="008A3715" w:rsidRPr="00FE24BB" w:rsidRDefault="008A3715" w:rsidP="004A42FB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FE24B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03.2016 </w:t>
            </w:r>
          </w:p>
          <w:p w:rsidR="008A3715" w:rsidRPr="00FE24BB" w:rsidRDefault="008A3715" w:rsidP="004A42FB">
            <w:pPr>
              <w:rPr>
                <w:rFonts w:cstheme="minorHAnsi"/>
              </w:rPr>
            </w:pPr>
          </w:p>
        </w:tc>
        <w:tc>
          <w:tcPr>
            <w:tcW w:w="5400" w:type="dxa"/>
          </w:tcPr>
          <w:p w:rsidR="008A3715" w:rsidRPr="00EA5E5B" w:rsidRDefault="008A3715" w:rsidP="004A42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EA5E5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Model strukturalny CGE. W krótkim okresie szok w postaci wzrostu kosztu kapitału, przy czym efekt wygasa w ciągu 5-9 lat w zależności od scenariusza. W długim okresie 2 scenariusze: </w:t>
            </w:r>
          </w:p>
          <w:p w:rsidR="008A3715" w:rsidRPr="00EA5E5B" w:rsidRDefault="008A3715" w:rsidP="004A42FB">
            <w:pPr>
              <w:pStyle w:val="Defaul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EA5E5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utworzenie strefy wolnego handlu między Wielką Brytanią a UE (dalej FTA), </w:t>
            </w:r>
          </w:p>
          <w:p w:rsidR="008A3715" w:rsidRPr="00EA5E5B" w:rsidRDefault="008A3715" w:rsidP="004A42FB">
            <w:pPr>
              <w:pStyle w:val="Defaul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EA5E5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handel między Wielką Brytanią a UE na zasadach WTO. </w:t>
            </w:r>
          </w:p>
          <w:p w:rsidR="008A3715" w:rsidRPr="00EA5E5B" w:rsidRDefault="008A3715" w:rsidP="004A42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  <w:p w:rsidR="008A3715" w:rsidRPr="00EA5E5B" w:rsidRDefault="008A3715" w:rsidP="004A42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EA5E5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Wyniki analizy: zmiana PKB (%) w 2020 i 2030 r.</w:t>
            </w:r>
          </w:p>
        </w:tc>
        <w:tc>
          <w:tcPr>
            <w:tcW w:w="1716" w:type="dxa"/>
          </w:tcPr>
          <w:p w:rsidR="008A3715" w:rsidRPr="00EA5E5B" w:rsidRDefault="008A3715" w:rsidP="004A42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EA5E5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Zmiana PKB (%):</w:t>
            </w:r>
          </w:p>
          <w:p w:rsidR="008A3715" w:rsidRDefault="008A3715" w:rsidP="004A42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EA5E5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W 2020: </w:t>
            </w:r>
          </w:p>
          <w:p w:rsidR="008A3715" w:rsidRPr="00EA5E5B" w:rsidRDefault="008A3715" w:rsidP="004A42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EA5E5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-3,0 do -5,5 </w:t>
            </w:r>
          </w:p>
          <w:p w:rsidR="008A3715" w:rsidRPr="00EA5E5B" w:rsidRDefault="008A3715" w:rsidP="004A4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  <w:p w:rsidR="008A3715" w:rsidRDefault="008A3715" w:rsidP="004A42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EA5E5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W 2030: </w:t>
            </w:r>
          </w:p>
          <w:p w:rsidR="008A3715" w:rsidRPr="00EA5E5B" w:rsidRDefault="008A3715" w:rsidP="004A42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EA5E5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-1,2 do -3,5 </w:t>
            </w:r>
          </w:p>
          <w:p w:rsidR="008A3715" w:rsidRPr="00EA5E5B" w:rsidRDefault="008A3715" w:rsidP="004A42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  <w:p w:rsidR="008A3715" w:rsidRPr="00EA5E5B" w:rsidRDefault="008A3715" w:rsidP="004A4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1707" w:type="dxa"/>
          </w:tcPr>
          <w:p w:rsidR="008A3715" w:rsidRPr="00EA5E5B" w:rsidRDefault="008A3715" w:rsidP="004A4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3118" w:type="dxa"/>
          </w:tcPr>
          <w:p w:rsidR="008A3715" w:rsidRPr="00EA5E5B" w:rsidRDefault="008A3715" w:rsidP="004A4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</w:tr>
      <w:tr w:rsidR="008A3715" w:rsidRPr="00FE24BB" w:rsidTr="004A4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A3715" w:rsidRPr="00FE24BB" w:rsidRDefault="008A3715" w:rsidP="004A42FB">
            <w:pPr>
              <w:pStyle w:val="Default"/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  <w:szCs w:val="22"/>
                <w:lang w:val="en-US"/>
              </w:rPr>
            </w:pPr>
            <w:r w:rsidRPr="00FE24B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  <w:t>LSE – CEP,</w:t>
            </w:r>
          </w:p>
          <w:p w:rsidR="008A3715" w:rsidRPr="00FE24BB" w:rsidRDefault="008A3715" w:rsidP="004A42FB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GB"/>
              </w:rPr>
            </w:pPr>
            <w:r w:rsidRPr="00FE24B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GB"/>
              </w:rPr>
              <w:t>The consequences of Brexit for UK trade and living standards</w:t>
            </w:r>
          </w:p>
          <w:p w:rsidR="008A3715" w:rsidRPr="00FE24BB" w:rsidRDefault="008A3715" w:rsidP="004A42FB">
            <w:pPr>
              <w:pStyle w:val="Default"/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  <w:szCs w:val="22"/>
                <w:lang w:val="en-US"/>
              </w:rPr>
            </w:pPr>
            <w:r w:rsidRPr="00FE24B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  <w:t>03.2016</w:t>
            </w:r>
          </w:p>
          <w:p w:rsidR="008A3715" w:rsidRPr="00FE24BB" w:rsidRDefault="008A3715" w:rsidP="004A42FB">
            <w:pPr>
              <w:pStyle w:val="Default"/>
              <w:rPr>
                <w:rFonts w:asciiTheme="minorHAnsi" w:hAnsiTheme="minorHAnsi" w:cstheme="minorHAnsi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5400" w:type="dxa"/>
          </w:tcPr>
          <w:p w:rsidR="008A3715" w:rsidRPr="008E0AB0" w:rsidRDefault="008A3715" w:rsidP="004A42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8E0AB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Model handlu globalnego z danymi z bazy WIOD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(World Input-Output Database) </w:t>
            </w:r>
            <w:r w:rsidRPr="008E0AB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dotyczącymi 35 sektorów i 31 regionów w 2 scenariuszach:</w:t>
            </w:r>
          </w:p>
          <w:p w:rsidR="008A3715" w:rsidRPr="008E0AB0" w:rsidRDefault="008A3715" w:rsidP="004A42FB">
            <w:pPr>
              <w:pStyle w:val="Default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8E0AB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niewielki wzrost kosztów wymiany handlowej między UK a UE</w:t>
            </w:r>
          </w:p>
          <w:p w:rsidR="008A3715" w:rsidRPr="008E0AB0" w:rsidRDefault="008A3715" w:rsidP="004A42FB">
            <w:pPr>
              <w:pStyle w:val="Default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8E0AB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większy wzrost kosztów wymiany handlowej między UK a UE</w:t>
            </w:r>
          </w:p>
          <w:p w:rsidR="008A3715" w:rsidRDefault="008A3715" w:rsidP="004A42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8E0AB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Wyniki</w:t>
            </w: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</w:t>
            </w:r>
            <w:r w:rsidRPr="00702AC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analizy:</w:t>
            </w:r>
            <w:r w:rsidRPr="008E0AB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zmiana dochodu w ujęciu rocznym i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w </w:t>
            </w:r>
            <w:r w:rsidRPr="008E0AB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przeliczeniu na gospodarstwo domowe. </w:t>
            </w:r>
          </w:p>
          <w:p w:rsidR="008A3715" w:rsidRPr="008E0AB0" w:rsidRDefault="008A3715" w:rsidP="004A42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Wyniki w długim okresie: zmiana PKB (%).</w:t>
            </w:r>
          </w:p>
        </w:tc>
        <w:tc>
          <w:tcPr>
            <w:tcW w:w="1716" w:type="dxa"/>
          </w:tcPr>
          <w:p w:rsidR="008A3715" w:rsidRPr="008E0AB0" w:rsidRDefault="008A3715" w:rsidP="004A42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8E0AB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Zmiana dochodu (%)</w:t>
            </w: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/ skumulowana zmiana PKB (%):</w:t>
            </w:r>
          </w:p>
          <w:p w:rsidR="008A3715" w:rsidRPr="008E0AB0" w:rsidRDefault="008A3715" w:rsidP="004A42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8E0AB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1. -1</w:t>
            </w: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,</w:t>
            </w:r>
            <w:r w:rsidRPr="008E0AB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3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/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GB"/>
              </w:rPr>
              <w:t>-6,</w:t>
            </w:r>
            <w:r w:rsidRPr="00FE24B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GB"/>
              </w:rPr>
              <w:t>3%</w:t>
            </w:r>
          </w:p>
          <w:p w:rsidR="008A3715" w:rsidRPr="00FE24BB" w:rsidRDefault="008A3715" w:rsidP="004A42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GB"/>
              </w:rPr>
            </w:pPr>
            <w:r w:rsidRPr="008E0AB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2. - 2</w:t>
            </w: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,</w:t>
            </w:r>
            <w:r w:rsidRPr="008E0AB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6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/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GB"/>
              </w:rPr>
              <w:t>-</w:t>
            </w:r>
            <w:r w:rsidRPr="00FE24B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GB"/>
              </w:rPr>
              <w:t>9</w:t>
            </w: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GB"/>
              </w:rPr>
              <w:t>,</w:t>
            </w:r>
            <w:r w:rsidRPr="00FE24B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GB"/>
              </w:rPr>
              <w:t>5%</w:t>
            </w:r>
          </w:p>
        </w:tc>
        <w:tc>
          <w:tcPr>
            <w:tcW w:w="1707" w:type="dxa"/>
          </w:tcPr>
          <w:p w:rsidR="008A3715" w:rsidRPr="00FE24BB" w:rsidRDefault="008A3715" w:rsidP="004A42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:rsidR="008A3715" w:rsidRPr="00FE24BB" w:rsidRDefault="008A3715" w:rsidP="004A42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8A3715" w:rsidRPr="00673E1E" w:rsidRDefault="008A3715" w:rsidP="00920066">
      <w:pPr>
        <w:pStyle w:val="cirbodytex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36053B" w:rsidRPr="00673E1E" w:rsidTr="0036053B">
        <w:trPr>
          <w:trHeight w:val="13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053B" w:rsidRPr="00673E1E" w:rsidRDefault="0036053B">
            <w:pPr>
              <w:rPr>
                <w:rFonts w:cstheme="minorHAnsi"/>
                <w:lang w:val="en-GB"/>
              </w:rPr>
            </w:pPr>
          </w:p>
        </w:tc>
      </w:tr>
    </w:tbl>
    <w:p w:rsidR="0017028D" w:rsidRPr="00673E1E" w:rsidRDefault="0017028D" w:rsidP="002308B7">
      <w:pPr>
        <w:spacing w:line="240" w:lineRule="auto"/>
        <w:rPr>
          <w:rFonts w:cstheme="minorHAnsi"/>
          <w:lang w:val="en-GB"/>
        </w:rPr>
      </w:pPr>
    </w:p>
    <w:sectPr w:rsidR="0017028D" w:rsidRPr="00673E1E" w:rsidSect="00861D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EF5" w:rsidRDefault="00275EF5" w:rsidP="007E0B51">
      <w:pPr>
        <w:spacing w:after="0" w:line="240" w:lineRule="auto"/>
      </w:pPr>
      <w:r>
        <w:separator/>
      </w:r>
    </w:p>
  </w:endnote>
  <w:endnote w:type="continuationSeparator" w:id="0">
    <w:p w:rsidR="00275EF5" w:rsidRDefault="00275EF5" w:rsidP="007E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EF5" w:rsidRDefault="00275EF5" w:rsidP="007E0B51">
      <w:pPr>
        <w:spacing w:after="0" w:line="240" w:lineRule="auto"/>
      </w:pPr>
      <w:r>
        <w:separator/>
      </w:r>
    </w:p>
  </w:footnote>
  <w:footnote w:type="continuationSeparator" w:id="0">
    <w:p w:rsidR="00275EF5" w:rsidRDefault="00275EF5" w:rsidP="007E0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C87"/>
    <w:multiLevelType w:val="hybridMultilevel"/>
    <w:tmpl w:val="85904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E68E1"/>
    <w:multiLevelType w:val="hybridMultilevel"/>
    <w:tmpl w:val="A462EE1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6DA0024"/>
    <w:multiLevelType w:val="hybridMultilevel"/>
    <w:tmpl w:val="581C9EFE"/>
    <w:lvl w:ilvl="0" w:tplc="75E8C1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73E96"/>
    <w:multiLevelType w:val="hybridMultilevel"/>
    <w:tmpl w:val="3A3453D2"/>
    <w:lvl w:ilvl="0" w:tplc="F0D256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F432B"/>
    <w:multiLevelType w:val="hybridMultilevel"/>
    <w:tmpl w:val="DD8251A4"/>
    <w:lvl w:ilvl="0" w:tplc="46686D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02506E4"/>
    <w:multiLevelType w:val="hybridMultilevel"/>
    <w:tmpl w:val="DB8C2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42EE6"/>
    <w:multiLevelType w:val="hybridMultilevel"/>
    <w:tmpl w:val="F9F49532"/>
    <w:lvl w:ilvl="0" w:tplc="C98EF5E6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7" w15:restartNumberingAfterBreak="0">
    <w:nsid w:val="16091690"/>
    <w:multiLevelType w:val="hybridMultilevel"/>
    <w:tmpl w:val="CD04C448"/>
    <w:lvl w:ilvl="0" w:tplc="92CE718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A18EF"/>
    <w:multiLevelType w:val="hybridMultilevel"/>
    <w:tmpl w:val="6ECC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C5D4C"/>
    <w:multiLevelType w:val="hybridMultilevel"/>
    <w:tmpl w:val="BC489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54A10"/>
    <w:multiLevelType w:val="hybridMultilevel"/>
    <w:tmpl w:val="BA2A6D60"/>
    <w:lvl w:ilvl="0" w:tplc="596AB5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E75AF"/>
    <w:multiLevelType w:val="hybridMultilevel"/>
    <w:tmpl w:val="D832B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F1350"/>
    <w:multiLevelType w:val="hybridMultilevel"/>
    <w:tmpl w:val="C96E0100"/>
    <w:lvl w:ilvl="0" w:tplc="956838E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30B8A"/>
    <w:multiLevelType w:val="hybridMultilevel"/>
    <w:tmpl w:val="56F8C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D5031"/>
    <w:multiLevelType w:val="hybridMultilevel"/>
    <w:tmpl w:val="32181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452CA"/>
    <w:multiLevelType w:val="hybridMultilevel"/>
    <w:tmpl w:val="C180D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A7B98"/>
    <w:multiLevelType w:val="hybridMultilevel"/>
    <w:tmpl w:val="604E2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92C85"/>
    <w:multiLevelType w:val="hybridMultilevel"/>
    <w:tmpl w:val="5810F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B2F5B"/>
    <w:multiLevelType w:val="hybridMultilevel"/>
    <w:tmpl w:val="5638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B054E"/>
    <w:multiLevelType w:val="hybridMultilevel"/>
    <w:tmpl w:val="604E2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E03AC"/>
    <w:multiLevelType w:val="hybridMultilevel"/>
    <w:tmpl w:val="2E061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82ACE"/>
    <w:multiLevelType w:val="hybridMultilevel"/>
    <w:tmpl w:val="CD1EAF7A"/>
    <w:lvl w:ilvl="0" w:tplc="81F2C344">
      <w:start w:val="1"/>
      <w:numFmt w:val="decimal"/>
      <w:lvlText w:val="%1."/>
      <w:lvlJc w:val="left"/>
      <w:pPr>
        <w:ind w:left="394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569B3FEA"/>
    <w:multiLevelType w:val="hybridMultilevel"/>
    <w:tmpl w:val="F7D8B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C2A18"/>
    <w:multiLevelType w:val="hybridMultilevel"/>
    <w:tmpl w:val="B65A5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F7C2B"/>
    <w:multiLevelType w:val="hybridMultilevel"/>
    <w:tmpl w:val="18061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B3555"/>
    <w:multiLevelType w:val="hybridMultilevel"/>
    <w:tmpl w:val="8C982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23B1C"/>
    <w:multiLevelType w:val="hybridMultilevel"/>
    <w:tmpl w:val="9C367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10653"/>
    <w:multiLevelType w:val="hybridMultilevel"/>
    <w:tmpl w:val="F7D8B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840A7"/>
    <w:multiLevelType w:val="hybridMultilevel"/>
    <w:tmpl w:val="2AEAC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D159D"/>
    <w:multiLevelType w:val="hybridMultilevel"/>
    <w:tmpl w:val="9F121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374D2"/>
    <w:multiLevelType w:val="hybridMultilevel"/>
    <w:tmpl w:val="970A0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30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23"/>
  </w:num>
  <w:num w:numId="9">
    <w:abstractNumId w:val="24"/>
  </w:num>
  <w:num w:numId="10">
    <w:abstractNumId w:val="11"/>
  </w:num>
  <w:num w:numId="11">
    <w:abstractNumId w:val="29"/>
  </w:num>
  <w:num w:numId="12">
    <w:abstractNumId w:val="21"/>
  </w:num>
  <w:num w:numId="13">
    <w:abstractNumId w:val="22"/>
  </w:num>
  <w:num w:numId="14">
    <w:abstractNumId w:val="27"/>
  </w:num>
  <w:num w:numId="15">
    <w:abstractNumId w:val="26"/>
  </w:num>
  <w:num w:numId="16">
    <w:abstractNumId w:val="13"/>
  </w:num>
  <w:num w:numId="17">
    <w:abstractNumId w:val="28"/>
  </w:num>
  <w:num w:numId="18">
    <w:abstractNumId w:val="18"/>
  </w:num>
  <w:num w:numId="19">
    <w:abstractNumId w:val="9"/>
  </w:num>
  <w:num w:numId="20">
    <w:abstractNumId w:val="5"/>
  </w:num>
  <w:num w:numId="21">
    <w:abstractNumId w:val="20"/>
  </w:num>
  <w:num w:numId="22">
    <w:abstractNumId w:val="6"/>
  </w:num>
  <w:num w:numId="23">
    <w:abstractNumId w:val="14"/>
  </w:num>
  <w:num w:numId="24">
    <w:abstractNumId w:val="3"/>
  </w:num>
  <w:num w:numId="25">
    <w:abstractNumId w:val="12"/>
  </w:num>
  <w:num w:numId="26">
    <w:abstractNumId w:val="0"/>
  </w:num>
  <w:num w:numId="27">
    <w:abstractNumId w:val="15"/>
  </w:num>
  <w:num w:numId="28">
    <w:abstractNumId w:val="16"/>
  </w:num>
  <w:num w:numId="29">
    <w:abstractNumId w:val="2"/>
  </w:num>
  <w:num w:numId="30">
    <w:abstractNumId w:val="1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EB"/>
    <w:rsid w:val="0000019B"/>
    <w:rsid w:val="0001108B"/>
    <w:rsid w:val="0002759D"/>
    <w:rsid w:val="00065579"/>
    <w:rsid w:val="000A5A4E"/>
    <w:rsid w:val="000B54F3"/>
    <w:rsid w:val="000B5C45"/>
    <w:rsid w:val="000D2CE6"/>
    <w:rsid w:val="000D2D31"/>
    <w:rsid w:val="000D3972"/>
    <w:rsid w:val="000F2B33"/>
    <w:rsid w:val="001020A0"/>
    <w:rsid w:val="00117D51"/>
    <w:rsid w:val="001213F3"/>
    <w:rsid w:val="001319F7"/>
    <w:rsid w:val="00131C64"/>
    <w:rsid w:val="0015143D"/>
    <w:rsid w:val="0017028D"/>
    <w:rsid w:val="00181BFF"/>
    <w:rsid w:val="001D0CF3"/>
    <w:rsid w:val="001E6BEF"/>
    <w:rsid w:val="001E6E67"/>
    <w:rsid w:val="001E735A"/>
    <w:rsid w:val="00200661"/>
    <w:rsid w:val="0020124C"/>
    <w:rsid w:val="002308B7"/>
    <w:rsid w:val="00247355"/>
    <w:rsid w:val="00247914"/>
    <w:rsid w:val="00272BA9"/>
    <w:rsid w:val="00275AB5"/>
    <w:rsid w:val="00275EF5"/>
    <w:rsid w:val="002B5BD1"/>
    <w:rsid w:val="002C0D89"/>
    <w:rsid w:val="002E6568"/>
    <w:rsid w:val="002F5625"/>
    <w:rsid w:val="00300796"/>
    <w:rsid w:val="00307D10"/>
    <w:rsid w:val="003176C9"/>
    <w:rsid w:val="00332883"/>
    <w:rsid w:val="0033583C"/>
    <w:rsid w:val="003367EC"/>
    <w:rsid w:val="00355E92"/>
    <w:rsid w:val="0036053B"/>
    <w:rsid w:val="00367650"/>
    <w:rsid w:val="003E6D88"/>
    <w:rsid w:val="003F5CA5"/>
    <w:rsid w:val="00422165"/>
    <w:rsid w:val="00457857"/>
    <w:rsid w:val="00460F5E"/>
    <w:rsid w:val="00484F5E"/>
    <w:rsid w:val="004A0FEF"/>
    <w:rsid w:val="004A703E"/>
    <w:rsid w:val="004B614C"/>
    <w:rsid w:val="004E4459"/>
    <w:rsid w:val="004F5DC7"/>
    <w:rsid w:val="004F64FE"/>
    <w:rsid w:val="00501BE1"/>
    <w:rsid w:val="00520F3A"/>
    <w:rsid w:val="00522BCB"/>
    <w:rsid w:val="005426E7"/>
    <w:rsid w:val="00543782"/>
    <w:rsid w:val="00560D96"/>
    <w:rsid w:val="0056567B"/>
    <w:rsid w:val="00590C61"/>
    <w:rsid w:val="00591236"/>
    <w:rsid w:val="00595F1C"/>
    <w:rsid w:val="005A7C64"/>
    <w:rsid w:val="005D660A"/>
    <w:rsid w:val="005D696D"/>
    <w:rsid w:val="005D7EDD"/>
    <w:rsid w:val="006720AD"/>
    <w:rsid w:val="00673E1E"/>
    <w:rsid w:val="00684EA7"/>
    <w:rsid w:val="00684EF4"/>
    <w:rsid w:val="00685C25"/>
    <w:rsid w:val="0069232C"/>
    <w:rsid w:val="0069373B"/>
    <w:rsid w:val="006B499B"/>
    <w:rsid w:val="006C0613"/>
    <w:rsid w:val="006C1C03"/>
    <w:rsid w:val="006D0881"/>
    <w:rsid w:val="006D24A3"/>
    <w:rsid w:val="00702ACB"/>
    <w:rsid w:val="00723CB6"/>
    <w:rsid w:val="00727A0E"/>
    <w:rsid w:val="007317B7"/>
    <w:rsid w:val="00761873"/>
    <w:rsid w:val="007A5B4B"/>
    <w:rsid w:val="007A6BB8"/>
    <w:rsid w:val="007A76DF"/>
    <w:rsid w:val="007D3169"/>
    <w:rsid w:val="007D33C5"/>
    <w:rsid w:val="007D33EA"/>
    <w:rsid w:val="007D779B"/>
    <w:rsid w:val="007E0B51"/>
    <w:rsid w:val="007F699C"/>
    <w:rsid w:val="00811CA5"/>
    <w:rsid w:val="0085092F"/>
    <w:rsid w:val="00856245"/>
    <w:rsid w:val="00861DEB"/>
    <w:rsid w:val="00875452"/>
    <w:rsid w:val="0089236F"/>
    <w:rsid w:val="008A3715"/>
    <w:rsid w:val="008D2939"/>
    <w:rsid w:val="008E06D0"/>
    <w:rsid w:val="008E0AB0"/>
    <w:rsid w:val="008E423F"/>
    <w:rsid w:val="0090017B"/>
    <w:rsid w:val="00910931"/>
    <w:rsid w:val="00915070"/>
    <w:rsid w:val="00920066"/>
    <w:rsid w:val="00922F68"/>
    <w:rsid w:val="0093248F"/>
    <w:rsid w:val="00934A38"/>
    <w:rsid w:val="00937E3E"/>
    <w:rsid w:val="00963C73"/>
    <w:rsid w:val="0097390F"/>
    <w:rsid w:val="009C7ECB"/>
    <w:rsid w:val="00A15C8B"/>
    <w:rsid w:val="00A312A9"/>
    <w:rsid w:val="00A425EB"/>
    <w:rsid w:val="00A65544"/>
    <w:rsid w:val="00A84300"/>
    <w:rsid w:val="00A90BFA"/>
    <w:rsid w:val="00AA37C3"/>
    <w:rsid w:val="00AC5886"/>
    <w:rsid w:val="00AF03FD"/>
    <w:rsid w:val="00B3121D"/>
    <w:rsid w:val="00B3268D"/>
    <w:rsid w:val="00B34EC9"/>
    <w:rsid w:val="00B4683B"/>
    <w:rsid w:val="00B60225"/>
    <w:rsid w:val="00B8488F"/>
    <w:rsid w:val="00B877FF"/>
    <w:rsid w:val="00B976BC"/>
    <w:rsid w:val="00BA5499"/>
    <w:rsid w:val="00BE4D56"/>
    <w:rsid w:val="00BF47D5"/>
    <w:rsid w:val="00C01858"/>
    <w:rsid w:val="00C0492D"/>
    <w:rsid w:val="00C05D99"/>
    <w:rsid w:val="00C06AAB"/>
    <w:rsid w:val="00C20ED2"/>
    <w:rsid w:val="00C57A62"/>
    <w:rsid w:val="00C70FCD"/>
    <w:rsid w:val="00C71370"/>
    <w:rsid w:val="00CC0003"/>
    <w:rsid w:val="00CE233C"/>
    <w:rsid w:val="00CE7806"/>
    <w:rsid w:val="00D10D0B"/>
    <w:rsid w:val="00D22D71"/>
    <w:rsid w:val="00D47FB4"/>
    <w:rsid w:val="00D56724"/>
    <w:rsid w:val="00D646D0"/>
    <w:rsid w:val="00D71261"/>
    <w:rsid w:val="00D84652"/>
    <w:rsid w:val="00D918F3"/>
    <w:rsid w:val="00E0135C"/>
    <w:rsid w:val="00E12C48"/>
    <w:rsid w:val="00E406AA"/>
    <w:rsid w:val="00E60410"/>
    <w:rsid w:val="00E6316E"/>
    <w:rsid w:val="00E85133"/>
    <w:rsid w:val="00EA5E5B"/>
    <w:rsid w:val="00EB4FA4"/>
    <w:rsid w:val="00EF72D1"/>
    <w:rsid w:val="00F03953"/>
    <w:rsid w:val="00F12DC5"/>
    <w:rsid w:val="00F4013D"/>
    <w:rsid w:val="00F50186"/>
    <w:rsid w:val="00F52782"/>
    <w:rsid w:val="00F60119"/>
    <w:rsid w:val="00FB2B56"/>
    <w:rsid w:val="00FE24BB"/>
    <w:rsid w:val="00FE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2CA2E-999B-4F97-9D3A-A5EED0B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1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E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B51"/>
  </w:style>
  <w:style w:type="paragraph" w:styleId="Stopka">
    <w:name w:val="footer"/>
    <w:basedOn w:val="Normalny"/>
    <w:link w:val="StopkaZnak"/>
    <w:uiPriority w:val="99"/>
    <w:unhideWhenUsed/>
    <w:rsid w:val="007E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B51"/>
  </w:style>
  <w:style w:type="character" w:styleId="Hipercze">
    <w:name w:val="Hyperlink"/>
    <w:basedOn w:val="Domylnaczcionkaakapitu"/>
    <w:uiPriority w:val="99"/>
    <w:unhideWhenUsed/>
    <w:rsid w:val="0036053B"/>
    <w:rPr>
      <w:strike w:val="0"/>
      <w:dstrike w:val="0"/>
      <w:color w:val="0D51FF"/>
      <w:u w:val="none"/>
      <w:effect w:val="none"/>
    </w:rPr>
  </w:style>
  <w:style w:type="paragraph" w:customStyle="1" w:styleId="cirbodytext">
    <w:name w:val="cirbodytext"/>
    <w:basedOn w:val="Normalny"/>
    <w:rsid w:val="0036053B"/>
    <w:pPr>
      <w:spacing w:after="0" w:line="270" w:lineRule="atLeast"/>
    </w:pPr>
    <w:rPr>
      <w:rFonts w:ascii="Verdana" w:hAnsi="Verdana" w:cs="Times New Roman"/>
      <w:color w:val="000000"/>
      <w:sz w:val="20"/>
      <w:szCs w:val="20"/>
      <w:lang w:eastAsia="pl-PL"/>
    </w:rPr>
  </w:style>
  <w:style w:type="character" w:customStyle="1" w:styleId="run">
    <w:name w:val="run"/>
    <w:basedOn w:val="Domylnaczcionkaakapitu"/>
    <w:rsid w:val="0036053B"/>
  </w:style>
  <w:style w:type="character" w:customStyle="1" w:styleId="Hipercze1">
    <w:name w:val="Hiperłącze1"/>
    <w:basedOn w:val="Domylnaczcionkaakapitu"/>
    <w:rsid w:val="0036053B"/>
  </w:style>
  <w:style w:type="character" w:styleId="UyteHipercze">
    <w:name w:val="FollowedHyperlink"/>
    <w:basedOn w:val="Domylnaczcionkaakapitu"/>
    <w:uiPriority w:val="99"/>
    <w:semiHidden/>
    <w:unhideWhenUsed/>
    <w:rsid w:val="00AC5886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56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56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56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8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8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8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85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26E7"/>
    <w:pPr>
      <w:spacing w:after="0" w:line="240" w:lineRule="auto"/>
      <w:ind w:left="720"/>
    </w:pPr>
    <w:rPr>
      <w:rFonts w:ascii="Calibri" w:hAnsi="Calibri" w:cs="Calibri"/>
    </w:rPr>
  </w:style>
  <w:style w:type="table" w:styleId="Tabelasiatki5ciemnaakcent2">
    <w:name w:val="Grid Table 5 Dark Accent 2"/>
    <w:basedOn w:val="Standardowy"/>
    <w:uiPriority w:val="50"/>
    <w:rsid w:val="00C06A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Poprawka">
    <w:name w:val="Revision"/>
    <w:hidden/>
    <w:uiPriority w:val="99"/>
    <w:semiHidden/>
    <w:rsid w:val="008E0A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821F0-3808-4FDE-B839-701EF9C5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1200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Szczypińska Agnieszka</dc:creator>
  <cp:lastModifiedBy>Szczypińska Agnieszka</cp:lastModifiedBy>
  <cp:revision>2</cp:revision>
  <dcterms:created xsi:type="dcterms:W3CDTF">2019-02-25T15:46:00Z</dcterms:created>
  <dcterms:modified xsi:type="dcterms:W3CDTF">2019-02-25T15:46:00Z</dcterms:modified>
</cp:coreProperties>
</file>