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420" w:rsidRDefault="00220420" w:rsidP="00597CAB">
      <w:pPr>
        <w:tabs>
          <w:tab w:val="left" w:pos="4820"/>
        </w:tabs>
        <w:ind w:right="-2"/>
        <w:rPr>
          <w:rFonts w:ascii="Calibri" w:hAnsi="Calibri"/>
          <w:highlight w:val="yellow"/>
        </w:rPr>
      </w:pPr>
      <w:bookmarkStart w:id="0" w:name="_GoBack"/>
      <w:bookmarkEnd w:id="0"/>
    </w:p>
    <w:p w:rsidR="00220420" w:rsidRDefault="00220420" w:rsidP="00597CAB">
      <w:pPr>
        <w:tabs>
          <w:tab w:val="left" w:pos="4820"/>
        </w:tabs>
        <w:ind w:right="-2"/>
        <w:rPr>
          <w:rFonts w:ascii="Calibri" w:hAnsi="Calibri"/>
          <w:highlight w:val="yellow"/>
        </w:rPr>
      </w:pPr>
    </w:p>
    <w:p w:rsidR="00220420" w:rsidRDefault="00220420" w:rsidP="00597CAB">
      <w:pPr>
        <w:tabs>
          <w:tab w:val="left" w:pos="4820"/>
        </w:tabs>
        <w:ind w:right="-2"/>
        <w:rPr>
          <w:rFonts w:ascii="Calibri" w:hAnsi="Calibri"/>
          <w:highlight w:val="yellow"/>
        </w:rPr>
      </w:pPr>
    </w:p>
    <w:p w:rsidR="00220420" w:rsidRDefault="00220420" w:rsidP="00597CAB">
      <w:pPr>
        <w:tabs>
          <w:tab w:val="left" w:pos="4820"/>
        </w:tabs>
        <w:ind w:right="-2"/>
        <w:rPr>
          <w:rFonts w:ascii="Calibri" w:hAnsi="Calibri"/>
          <w:highlight w:val="yellow"/>
        </w:rPr>
      </w:pPr>
    </w:p>
    <w:p w:rsidR="005D2CDB" w:rsidRDefault="005D2CDB" w:rsidP="00597CAB">
      <w:pPr>
        <w:tabs>
          <w:tab w:val="left" w:pos="4820"/>
        </w:tabs>
        <w:ind w:right="-2"/>
        <w:rPr>
          <w:rFonts w:ascii="Calibri" w:hAnsi="Calibri"/>
        </w:rPr>
      </w:pPr>
    </w:p>
    <w:p w:rsidR="00163B4F" w:rsidRDefault="00163B4F" w:rsidP="00597CAB">
      <w:pPr>
        <w:tabs>
          <w:tab w:val="left" w:pos="4820"/>
        </w:tabs>
        <w:ind w:right="-2"/>
        <w:rPr>
          <w:rFonts w:ascii="Calibri" w:hAnsi="Calibri"/>
        </w:rPr>
      </w:pPr>
    </w:p>
    <w:p w:rsidR="00597CAB" w:rsidRPr="00D628DE" w:rsidRDefault="00597CAB" w:rsidP="00600F68">
      <w:pPr>
        <w:tabs>
          <w:tab w:val="left" w:pos="4820"/>
        </w:tabs>
        <w:ind w:left="993" w:right="-2"/>
        <w:rPr>
          <w:rFonts w:ascii="Calibri" w:hAnsi="Calibri"/>
        </w:rPr>
      </w:pPr>
      <w:r w:rsidRPr="0095703E">
        <w:rPr>
          <w:rFonts w:ascii="Calibri" w:hAnsi="Calibri"/>
        </w:rPr>
        <w:t>DBN.WP.</w:t>
      </w:r>
      <w:r w:rsidR="00BB264D" w:rsidRPr="00BB264D">
        <w:rPr>
          <w:rFonts w:ascii="Calibri" w:hAnsi="Calibri"/>
        </w:rPr>
        <w:t>141.1.95.2019.JC</w:t>
      </w:r>
      <w:r>
        <w:rPr>
          <w:rFonts w:ascii="Calibri" w:hAnsi="Calibri"/>
        </w:rPr>
        <w:tab/>
      </w:r>
      <w:r>
        <w:rPr>
          <w:rFonts w:ascii="Calibri" w:hAnsi="Calibri"/>
        </w:rPr>
        <w:tab/>
        <w:t xml:space="preserve">        </w:t>
      </w:r>
      <w:r w:rsidRPr="004D187C">
        <w:rPr>
          <w:rFonts w:ascii="Calibri" w:hAnsi="Calibri"/>
        </w:rPr>
        <w:t xml:space="preserve"> </w:t>
      </w:r>
      <w:r>
        <w:rPr>
          <w:rFonts w:ascii="Calibri" w:hAnsi="Calibri"/>
        </w:rPr>
        <w:t xml:space="preserve">Warszawa, </w:t>
      </w:r>
      <w:r w:rsidR="004A3162" w:rsidRPr="004A3162">
        <w:rPr>
          <w:rFonts w:ascii="Calibri" w:hAnsi="Calibri"/>
          <w:spacing w:val="-20"/>
          <w:sz w:val="22"/>
        </w:rPr>
        <w:t>/data zgodna z podpisem kwalifikowanym/</w:t>
      </w:r>
    </w:p>
    <w:p w:rsidR="00597CAB" w:rsidRDefault="00597CAB" w:rsidP="00597CAB">
      <w:pPr>
        <w:outlineLvl w:val="0"/>
        <w:rPr>
          <w:rFonts w:ascii="Calibri" w:hAnsi="Calibri"/>
        </w:rPr>
      </w:pPr>
    </w:p>
    <w:p w:rsidR="000A31C2" w:rsidRDefault="000A31C2" w:rsidP="00597CAB">
      <w:pPr>
        <w:ind w:left="5387"/>
        <w:rPr>
          <w:rFonts w:asciiTheme="minorHAnsi" w:hAnsiTheme="minorHAnsi"/>
          <w:b/>
        </w:rPr>
      </w:pPr>
    </w:p>
    <w:p w:rsidR="004A4025" w:rsidRPr="0048769C" w:rsidRDefault="0093146B" w:rsidP="00597CAB">
      <w:pPr>
        <w:ind w:left="5387"/>
        <w:rPr>
          <w:rFonts w:asciiTheme="minorHAnsi" w:hAnsiTheme="minorHAnsi"/>
          <w:b/>
        </w:rPr>
      </w:pPr>
      <w:r w:rsidRPr="0048769C">
        <w:rPr>
          <w:rFonts w:asciiTheme="minorHAnsi" w:hAnsiTheme="minorHAnsi"/>
          <w:b/>
        </w:rPr>
        <w:t>Pan</w:t>
      </w:r>
    </w:p>
    <w:p w:rsidR="005027D7" w:rsidRPr="0048769C" w:rsidRDefault="009F6E23" w:rsidP="00597CAB">
      <w:pPr>
        <w:ind w:left="5387"/>
        <w:rPr>
          <w:rFonts w:asciiTheme="minorHAnsi" w:hAnsiTheme="minorHAnsi"/>
          <w:b/>
        </w:rPr>
      </w:pPr>
      <w:r>
        <w:rPr>
          <w:rFonts w:asciiTheme="minorHAnsi" w:hAnsiTheme="minorHAnsi"/>
          <w:b/>
        </w:rPr>
        <w:t>Krzysztof Kozłowski</w:t>
      </w:r>
    </w:p>
    <w:p w:rsidR="000547AD" w:rsidRPr="00F7422A" w:rsidRDefault="009F6E23" w:rsidP="00597CAB">
      <w:pPr>
        <w:ind w:left="5387"/>
        <w:rPr>
          <w:rFonts w:asciiTheme="minorHAnsi" w:hAnsiTheme="minorHAnsi"/>
        </w:rPr>
      </w:pPr>
      <w:r>
        <w:rPr>
          <w:rFonts w:asciiTheme="minorHAnsi" w:hAnsiTheme="minorHAnsi"/>
        </w:rPr>
        <w:t>S</w:t>
      </w:r>
      <w:r w:rsidR="00E65A17">
        <w:rPr>
          <w:rFonts w:asciiTheme="minorHAnsi" w:hAnsiTheme="minorHAnsi"/>
        </w:rPr>
        <w:t xml:space="preserve">ekretarz Stanu w Ministerstwie Spraw Wewnętrznych i Administracji </w:t>
      </w:r>
    </w:p>
    <w:p w:rsidR="005027D7" w:rsidRDefault="005027D7" w:rsidP="005027D7">
      <w:pPr>
        <w:spacing w:line="276" w:lineRule="auto"/>
        <w:rPr>
          <w:rFonts w:asciiTheme="minorHAnsi" w:hAnsiTheme="minorHAnsi"/>
        </w:rPr>
      </w:pPr>
    </w:p>
    <w:p w:rsidR="00984B04" w:rsidRPr="00600F68" w:rsidRDefault="00600F68" w:rsidP="005027D7">
      <w:pPr>
        <w:spacing w:line="276" w:lineRule="auto"/>
        <w:rPr>
          <w:rFonts w:asciiTheme="minorHAnsi" w:hAnsiTheme="minorHAnsi"/>
          <w:i/>
        </w:rPr>
      </w:pPr>
      <w:r w:rsidRPr="00600F68">
        <w:rPr>
          <w:rFonts w:asciiTheme="minorHAnsi" w:hAnsiTheme="minorHAnsi"/>
          <w:i/>
        </w:rPr>
        <w:t>Szanowny Panie Ministrze,</w:t>
      </w:r>
    </w:p>
    <w:p w:rsidR="00984B04" w:rsidRPr="0048769C" w:rsidRDefault="00984B04" w:rsidP="005027D7">
      <w:pPr>
        <w:spacing w:line="276" w:lineRule="auto"/>
        <w:rPr>
          <w:rFonts w:asciiTheme="minorHAnsi" w:hAnsiTheme="minorHAnsi"/>
        </w:rPr>
      </w:pPr>
    </w:p>
    <w:p w:rsidR="000E4F6B" w:rsidRDefault="00600F68" w:rsidP="00C52709">
      <w:pPr>
        <w:spacing w:after="120" w:line="23" w:lineRule="atLeast"/>
        <w:ind w:firstLine="708"/>
        <w:jc w:val="both"/>
        <w:rPr>
          <w:rFonts w:asciiTheme="minorHAnsi" w:hAnsiTheme="minorHAnsi"/>
        </w:rPr>
      </w:pPr>
      <w:r>
        <w:rPr>
          <w:rFonts w:asciiTheme="minorHAnsi" w:hAnsiTheme="minorHAnsi"/>
        </w:rPr>
        <w:t>w</w:t>
      </w:r>
      <w:r w:rsidR="008665B2">
        <w:rPr>
          <w:rFonts w:asciiTheme="minorHAnsi" w:hAnsiTheme="minorHAnsi"/>
        </w:rPr>
        <w:t xml:space="preserve"> </w:t>
      </w:r>
      <w:r w:rsidR="0081566E">
        <w:rPr>
          <w:rFonts w:asciiTheme="minorHAnsi" w:hAnsiTheme="minorHAnsi"/>
        </w:rPr>
        <w:t xml:space="preserve">odpowiedzi na pismo z dnia </w:t>
      </w:r>
      <w:r w:rsidR="000E4F6B">
        <w:rPr>
          <w:rFonts w:asciiTheme="minorHAnsi" w:hAnsiTheme="minorHAnsi"/>
        </w:rPr>
        <w:t xml:space="preserve">20 maja br. (L. dz. DP-WLO-0231-4/2018/RA), </w:t>
      </w:r>
      <w:r w:rsidR="00B07439">
        <w:rPr>
          <w:rFonts w:asciiTheme="minorHAnsi" w:hAnsiTheme="minorHAnsi"/>
        </w:rPr>
        <w:t xml:space="preserve">przekazujące do uzgodnień międzyresortowych projekt ustawy </w:t>
      </w:r>
      <w:r w:rsidR="00B07439" w:rsidRPr="00600F68">
        <w:rPr>
          <w:rFonts w:asciiTheme="minorHAnsi" w:hAnsiTheme="minorHAnsi"/>
          <w:i/>
        </w:rPr>
        <w:t>o Sieci Łączności Rządowej</w:t>
      </w:r>
      <w:r w:rsidR="00B07439">
        <w:rPr>
          <w:rFonts w:asciiTheme="minorHAnsi" w:hAnsiTheme="minorHAnsi"/>
        </w:rPr>
        <w:t>, zgłaszam poniższe uwagi do przedmiotowego projektu.</w:t>
      </w:r>
    </w:p>
    <w:p w:rsidR="00BC2198" w:rsidRPr="00BC2198" w:rsidRDefault="00BC2198" w:rsidP="00BC2198">
      <w:pPr>
        <w:spacing w:after="120" w:line="23" w:lineRule="atLeast"/>
        <w:jc w:val="both"/>
        <w:rPr>
          <w:rFonts w:asciiTheme="minorHAnsi" w:hAnsiTheme="minorHAnsi"/>
          <w:b/>
        </w:rPr>
      </w:pPr>
      <w:r w:rsidRPr="00BC2198">
        <w:rPr>
          <w:rFonts w:asciiTheme="minorHAnsi" w:hAnsiTheme="minorHAnsi"/>
          <w:b/>
        </w:rPr>
        <w:t>I. Uwagi o charakterze generalnym</w:t>
      </w:r>
    </w:p>
    <w:p w:rsidR="0085055D" w:rsidRDefault="00BC2198" w:rsidP="0085055D">
      <w:pPr>
        <w:spacing w:after="120" w:line="23" w:lineRule="atLeast"/>
        <w:ind w:firstLine="708"/>
        <w:jc w:val="both"/>
        <w:rPr>
          <w:rFonts w:asciiTheme="minorHAnsi" w:hAnsiTheme="minorHAnsi"/>
        </w:rPr>
      </w:pPr>
      <w:r w:rsidRPr="0085055D">
        <w:rPr>
          <w:rFonts w:asciiTheme="minorHAnsi" w:hAnsiTheme="minorHAnsi"/>
        </w:rPr>
        <w:t xml:space="preserve">Przepis </w:t>
      </w:r>
      <w:r w:rsidR="00600F68" w:rsidRPr="0085055D">
        <w:rPr>
          <w:rFonts w:asciiTheme="minorHAnsi" w:hAnsiTheme="minorHAnsi"/>
        </w:rPr>
        <w:t xml:space="preserve">art. 4 projektowanej ustawy </w:t>
      </w:r>
      <w:r w:rsidRPr="0085055D">
        <w:rPr>
          <w:rFonts w:asciiTheme="minorHAnsi" w:hAnsiTheme="minorHAnsi"/>
        </w:rPr>
        <w:t xml:space="preserve">powinien zostać przeredagowany w sposób, który umożliwi, bez konieczności jego nowelizacji, przyszłe przemodelowanie proponowanego kształtu komponentów Sieci Łączności Rządowej (dalej: </w:t>
      </w:r>
      <w:r w:rsidR="00600F68" w:rsidRPr="0085055D">
        <w:rPr>
          <w:rFonts w:asciiTheme="minorHAnsi" w:hAnsiTheme="minorHAnsi"/>
        </w:rPr>
        <w:t>„</w:t>
      </w:r>
      <w:r w:rsidRPr="0085055D">
        <w:rPr>
          <w:rFonts w:asciiTheme="minorHAnsi" w:hAnsiTheme="minorHAnsi"/>
        </w:rPr>
        <w:t>SŁR</w:t>
      </w:r>
      <w:r w:rsidR="00600F68" w:rsidRPr="0085055D">
        <w:rPr>
          <w:rFonts w:asciiTheme="minorHAnsi" w:hAnsiTheme="minorHAnsi"/>
        </w:rPr>
        <w:t>”</w:t>
      </w:r>
      <w:r w:rsidRPr="0085055D">
        <w:rPr>
          <w:rFonts w:asciiTheme="minorHAnsi" w:hAnsiTheme="minorHAnsi"/>
        </w:rPr>
        <w:t xml:space="preserve">) na rzecz budowy jednolitego, rozległego systemu teleinformatycznego działającego na zasadzie </w:t>
      </w:r>
      <w:r w:rsidRPr="0085055D">
        <w:rPr>
          <w:rFonts w:asciiTheme="minorHAnsi" w:hAnsiTheme="minorHAnsi"/>
          <w:i/>
        </w:rPr>
        <w:t>intranetu</w:t>
      </w:r>
      <w:r w:rsidRPr="0085055D">
        <w:rPr>
          <w:rFonts w:asciiTheme="minorHAnsi" w:hAnsiTheme="minorHAnsi"/>
        </w:rPr>
        <w:t>. System taki zostałby oparty na krajowych rozwiązaniach kryptograficznych, tworząc bezpieczne środowisko wymiany informacji jawnych oraz niejawnych</w:t>
      </w:r>
      <w:r w:rsidR="00600F68" w:rsidRPr="0085055D">
        <w:rPr>
          <w:rFonts w:asciiTheme="minorHAnsi" w:hAnsiTheme="minorHAnsi"/>
        </w:rPr>
        <w:t xml:space="preserve"> w ramach administracji państwowej</w:t>
      </w:r>
      <w:r w:rsidRPr="0085055D">
        <w:rPr>
          <w:rFonts w:asciiTheme="minorHAnsi" w:hAnsiTheme="minorHAnsi"/>
        </w:rPr>
        <w:t>. W ramach tak zarysowanego systemu, poszczególne formy łączności (m.in. połączenia głosowe, poczta elektroniczna, połączenia wideo, przesyłanie plików) byłyby realizowane w postaci kolejnych usług teleinformatycznych uruchamianych w jednym, jednolitym środowisku sprzętowo-programowym. Rozwiązanie takie nie tylko zapewnia wyższy, w pełni ustandaryzowany poziom bezpieczeństwa przetwarzanych danych oraz informacji w różnych podmiotach, w tym także niejawnych, ale także pozwoli na przyszłe dodawanie kolejnych usług bez konieczności organizacji nowych systemów dedykowanych każdorazowo do realizacji wyłącznie jednej funkcjonalności. Proponowane rozwiązanie będzie również służyło racjonalizacji ponoszonych wydatków.</w:t>
      </w:r>
    </w:p>
    <w:p w:rsidR="00BC2198" w:rsidRPr="00BC2198" w:rsidRDefault="0085055D" w:rsidP="0085055D">
      <w:pPr>
        <w:spacing w:after="120" w:line="23" w:lineRule="atLeast"/>
        <w:ind w:firstLine="426"/>
        <w:jc w:val="both"/>
        <w:rPr>
          <w:rFonts w:asciiTheme="minorHAnsi" w:hAnsiTheme="minorHAnsi"/>
        </w:rPr>
      </w:pPr>
      <w:r>
        <w:rPr>
          <w:rFonts w:asciiTheme="minorHAnsi" w:hAnsiTheme="minorHAnsi"/>
        </w:rPr>
        <w:t>Wobec powyższego</w:t>
      </w:r>
      <w:r w:rsidR="00217A46" w:rsidRPr="0085055D">
        <w:rPr>
          <w:rFonts w:asciiTheme="minorHAnsi" w:hAnsiTheme="minorHAnsi"/>
        </w:rPr>
        <w:t xml:space="preserve"> </w:t>
      </w:r>
      <w:r>
        <w:rPr>
          <w:rFonts w:asciiTheme="minorHAnsi" w:hAnsiTheme="minorHAnsi"/>
        </w:rPr>
        <w:t xml:space="preserve">pożądanym </w:t>
      </w:r>
      <w:r w:rsidR="00BC2198" w:rsidRPr="0085055D">
        <w:rPr>
          <w:rFonts w:asciiTheme="minorHAnsi" w:hAnsiTheme="minorHAnsi"/>
        </w:rPr>
        <w:t>sposobem impl</w:t>
      </w:r>
      <w:r w:rsidR="00217A46" w:rsidRPr="0085055D">
        <w:rPr>
          <w:rFonts w:asciiTheme="minorHAnsi" w:hAnsiTheme="minorHAnsi"/>
        </w:rPr>
        <w:t xml:space="preserve">ementacji </w:t>
      </w:r>
      <w:r>
        <w:rPr>
          <w:rFonts w:asciiTheme="minorHAnsi" w:hAnsiTheme="minorHAnsi"/>
        </w:rPr>
        <w:t>zaprezentowanej</w:t>
      </w:r>
      <w:r w:rsidR="00217A46" w:rsidRPr="0085055D">
        <w:rPr>
          <w:rFonts w:asciiTheme="minorHAnsi" w:hAnsiTheme="minorHAnsi"/>
        </w:rPr>
        <w:t xml:space="preserve"> koncepcji w projekcie ustawy </w:t>
      </w:r>
      <w:r>
        <w:rPr>
          <w:rFonts w:asciiTheme="minorHAnsi" w:hAnsiTheme="minorHAnsi"/>
        </w:rPr>
        <w:t xml:space="preserve">jest </w:t>
      </w:r>
      <w:r w:rsidR="00BC2198" w:rsidRPr="0085055D">
        <w:rPr>
          <w:rFonts w:asciiTheme="minorHAnsi" w:hAnsiTheme="minorHAnsi"/>
        </w:rPr>
        <w:t xml:space="preserve">wprowadzenie zmian w art. 4 projektu </w:t>
      </w:r>
      <w:r>
        <w:rPr>
          <w:rFonts w:asciiTheme="minorHAnsi" w:hAnsiTheme="minorHAnsi"/>
        </w:rPr>
        <w:t>polegających na wskazaniu</w:t>
      </w:r>
      <w:r w:rsidR="00BC2198" w:rsidRPr="0085055D">
        <w:rPr>
          <w:rFonts w:asciiTheme="minorHAnsi" w:hAnsiTheme="minorHAnsi"/>
        </w:rPr>
        <w:t xml:space="preserve">, </w:t>
      </w:r>
      <w:r w:rsidR="00217A46" w:rsidRPr="0085055D">
        <w:rPr>
          <w:rFonts w:asciiTheme="minorHAnsi" w:hAnsiTheme="minorHAnsi"/>
        </w:rPr>
        <w:t>że</w:t>
      </w:r>
      <w:r w:rsidR="00BC2198" w:rsidRPr="0085055D">
        <w:rPr>
          <w:rFonts w:asciiTheme="minorHAnsi" w:hAnsiTheme="minorHAnsi"/>
        </w:rPr>
        <w:t xml:space="preserve"> w skład SŁR wchodzą nie tyle wymienione w tym przepisie „systemy”, </w:t>
      </w:r>
      <w:r w:rsidR="00217A46" w:rsidRPr="0085055D">
        <w:rPr>
          <w:rFonts w:asciiTheme="minorHAnsi" w:hAnsiTheme="minorHAnsi"/>
        </w:rPr>
        <w:t>ale że</w:t>
      </w:r>
      <w:r w:rsidR="00BC2198" w:rsidRPr="0085055D">
        <w:rPr>
          <w:rFonts w:asciiTheme="minorHAnsi" w:hAnsiTheme="minorHAnsi"/>
        </w:rPr>
        <w:t xml:space="preserve"> SŁR realizuje opisane tam „usługi” - bez przesądzania, czy usługi te oferowane są w ramach </w:t>
      </w:r>
      <w:r w:rsidR="00217A46" w:rsidRPr="0085055D">
        <w:rPr>
          <w:rFonts w:asciiTheme="minorHAnsi" w:hAnsiTheme="minorHAnsi"/>
        </w:rPr>
        <w:t xml:space="preserve">jednego lub większej liczby </w:t>
      </w:r>
      <w:r w:rsidR="00BC2198" w:rsidRPr="0085055D">
        <w:rPr>
          <w:rFonts w:asciiTheme="minorHAnsi" w:hAnsiTheme="minorHAnsi"/>
        </w:rPr>
        <w:t>różny</w:t>
      </w:r>
      <w:r w:rsidR="00217A46" w:rsidRPr="0085055D">
        <w:rPr>
          <w:rFonts w:asciiTheme="minorHAnsi" w:hAnsiTheme="minorHAnsi"/>
        </w:rPr>
        <w:t>ch systemów teleinformatycznych</w:t>
      </w:r>
      <w:r w:rsidR="00BC2198" w:rsidRPr="0085055D">
        <w:rPr>
          <w:rFonts w:asciiTheme="minorHAnsi" w:hAnsiTheme="minorHAnsi"/>
        </w:rPr>
        <w:t xml:space="preserve">. Należy zaznaczyć, </w:t>
      </w:r>
      <w:r w:rsidR="00217A46" w:rsidRPr="0085055D">
        <w:rPr>
          <w:rFonts w:asciiTheme="minorHAnsi" w:hAnsiTheme="minorHAnsi"/>
        </w:rPr>
        <w:t>że</w:t>
      </w:r>
      <w:r w:rsidR="00BC2198" w:rsidRPr="0085055D">
        <w:rPr>
          <w:rFonts w:asciiTheme="minorHAnsi" w:hAnsiTheme="minorHAnsi"/>
        </w:rPr>
        <w:t xml:space="preserve"> z</w:t>
      </w:r>
      <w:r w:rsidR="004450CE" w:rsidRPr="0085055D">
        <w:rPr>
          <w:rFonts w:asciiTheme="minorHAnsi" w:hAnsiTheme="minorHAnsi"/>
        </w:rPr>
        <w:t>miana ta w pełni koresponduje z </w:t>
      </w:r>
      <w:r w:rsidR="00BC2198" w:rsidRPr="0085055D">
        <w:rPr>
          <w:rFonts w:asciiTheme="minorHAnsi" w:hAnsiTheme="minorHAnsi"/>
        </w:rPr>
        <w:t xml:space="preserve">zaproponowanym przez projektodawcę brzmieniem art. 3 projektu ustawy, który stanowi, </w:t>
      </w:r>
      <w:r w:rsidR="00217A46" w:rsidRPr="0085055D">
        <w:rPr>
          <w:rFonts w:asciiTheme="minorHAnsi" w:hAnsiTheme="minorHAnsi"/>
        </w:rPr>
        <w:t>że</w:t>
      </w:r>
      <w:r w:rsidR="00BC2198" w:rsidRPr="0085055D">
        <w:rPr>
          <w:rFonts w:asciiTheme="minorHAnsi" w:hAnsiTheme="minorHAnsi"/>
        </w:rPr>
        <w:t xml:space="preserve"> „</w:t>
      </w:r>
      <w:r w:rsidR="00BC2198" w:rsidRPr="0085055D">
        <w:rPr>
          <w:rFonts w:asciiTheme="minorHAnsi" w:hAnsiTheme="minorHAnsi"/>
          <w:i/>
        </w:rPr>
        <w:t>tworzy się SŁR jako bezpieczną telekomunikacyjną sieć łączności</w:t>
      </w:r>
      <w:r w:rsidR="00BC2198" w:rsidRPr="0085055D">
        <w:rPr>
          <w:rFonts w:asciiTheme="minorHAnsi" w:hAnsiTheme="minorHAnsi"/>
        </w:rPr>
        <w:t>” świadczącą „</w:t>
      </w:r>
      <w:r w:rsidR="00BC2198" w:rsidRPr="0085055D">
        <w:rPr>
          <w:rFonts w:asciiTheme="minorHAnsi" w:hAnsiTheme="minorHAnsi"/>
          <w:i/>
        </w:rPr>
        <w:t>usługi telekomunikacyjne</w:t>
      </w:r>
      <w:r w:rsidR="00BC2198" w:rsidRPr="0085055D">
        <w:rPr>
          <w:rFonts w:asciiTheme="minorHAnsi" w:hAnsiTheme="minorHAnsi"/>
        </w:rPr>
        <w:t xml:space="preserve">”. W tym miejscu </w:t>
      </w:r>
      <w:r>
        <w:rPr>
          <w:rFonts w:asciiTheme="minorHAnsi" w:hAnsiTheme="minorHAnsi"/>
        </w:rPr>
        <w:t xml:space="preserve">projektu </w:t>
      </w:r>
      <w:r w:rsidR="00BC2198" w:rsidRPr="0085055D">
        <w:rPr>
          <w:rFonts w:asciiTheme="minorHAnsi" w:hAnsiTheme="minorHAnsi"/>
        </w:rPr>
        <w:t xml:space="preserve">wyraźnie jest mowa o sieci, określonej w sposób ogólny bez precyzowania liczby </w:t>
      </w:r>
      <w:r>
        <w:rPr>
          <w:rFonts w:asciiTheme="minorHAnsi" w:hAnsiTheme="minorHAnsi"/>
        </w:rPr>
        <w:t xml:space="preserve">i nazw </w:t>
      </w:r>
      <w:r w:rsidR="00BC2198" w:rsidRPr="0085055D">
        <w:rPr>
          <w:rFonts w:asciiTheme="minorHAnsi" w:hAnsiTheme="minorHAnsi"/>
        </w:rPr>
        <w:t>systemów ją tworzących, oraz o usługach</w:t>
      </w:r>
      <w:r>
        <w:rPr>
          <w:rFonts w:asciiTheme="minorHAnsi" w:hAnsiTheme="minorHAnsi"/>
        </w:rPr>
        <w:t>, które ma ta sieć zapewnić</w:t>
      </w:r>
      <w:r w:rsidR="00BC2198" w:rsidRPr="0085055D">
        <w:rPr>
          <w:rFonts w:asciiTheme="minorHAnsi" w:hAnsiTheme="minorHAnsi"/>
        </w:rPr>
        <w:t xml:space="preserve">. </w:t>
      </w:r>
      <w:r w:rsidR="00BC2198" w:rsidRPr="00BC2198">
        <w:rPr>
          <w:rFonts w:asciiTheme="minorHAnsi" w:hAnsiTheme="minorHAnsi"/>
        </w:rPr>
        <w:t xml:space="preserve">Należy </w:t>
      </w:r>
      <w:r>
        <w:rPr>
          <w:rFonts w:asciiTheme="minorHAnsi" w:hAnsiTheme="minorHAnsi"/>
        </w:rPr>
        <w:t>zaznaczyć</w:t>
      </w:r>
      <w:r w:rsidR="00BC2198" w:rsidRPr="00BC2198">
        <w:rPr>
          <w:rFonts w:asciiTheme="minorHAnsi" w:hAnsiTheme="minorHAnsi"/>
        </w:rPr>
        <w:t xml:space="preserve">, iż </w:t>
      </w:r>
      <w:r>
        <w:rPr>
          <w:rFonts w:asciiTheme="minorHAnsi" w:hAnsiTheme="minorHAnsi"/>
        </w:rPr>
        <w:t>uwzględnienie</w:t>
      </w:r>
      <w:r w:rsidR="00BC2198" w:rsidRPr="00BC2198">
        <w:rPr>
          <w:rFonts w:asciiTheme="minorHAnsi" w:hAnsiTheme="minorHAnsi"/>
        </w:rPr>
        <w:t xml:space="preserve"> powyższej zmiany może wiązać się z koniecznością wprowadzenia dodatkowych zmian w stosowanej siatce pojęciowej,</w:t>
      </w:r>
      <w:r w:rsidR="00BC2198" w:rsidRPr="00BC2198">
        <w:rPr>
          <w:rFonts w:asciiTheme="minorHAnsi" w:hAnsiTheme="minorHAnsi"/>
        </w:rPr>
        <w:br/>
        <w:t>jak również w przepisach określających procedurę przyłączania użytkowników.</w:t>
      </w:r>
    </w:p>
    <w:p w:rsidR="00B96E0B" w:rsidRDefault="00BC2198" w:rsidP="0085055D">
      <w:pPr>
        <w:spacing w:after="120" w:line="23" w:lineRule="atLeast"/>
        <w:ind w:firstLine="567"/>
        <w:jc w:val="both"/>
        <w:rPr>
          <w:rFonts w:asciiTheme="minorHAnsi" w:hAnsiTheme="minorHAnsi"/>
        </w:rPr>
      </w:pPr>
      <w:r w:rsidRPr="00BC2198">
        <w:rPr>
          <w:rFonts w:asciiTheme="minorHAnsi" w:hAnsiTheme="minorHAnsi"/>
        </w:rPr>
        <w:t xml:space="preserve">Kolejną kwestią o charakterze generalnym, jaka </w:t>
      </w:r>
      <w:r w:rsidR="004450CE">
        <w:rPr>
          <w:rFonts w:asciiTheme="minorHAnsi" w:hAnsiTheme="minorHAnsi"/>
        </w:rPr>
        <w:t>powinna zostać uregulowana w </w:t>
      </w:r>
      <w:r w:rsidRPr="00BC2198">
        <w:rPr>
          <w:rFonts w:asciiTheme="minorHAnsi" w:hAnsiTheme="minorHAnsi"/>
        </w:rPr>
        <w:t xml:space="preserve">przedmiotowym projekcie, jest zagadnienie </w:t>
      </w:r>
      <w:r w:rsidR="0085055D" w:rsidRPr="00BC2198">
        <w:rPr>
          <w:rFonts w:asciiTheme="minorHAnsi" w:hAnsiTheme="minorHAnsi"/>
        </w:rPr>
        <w:t xml:space="preserve">radiowej </w:t>
      </w:r>
      <w:r w:rsidRPr="00BC2198">
        <w:rPr>
          <w:rFonts w:asciiTheme="minorHAnsi" w:hAnsiTheme="minorHAnsi"/>
        </w:rPr>
        <w:t xml:space="preserve">łączności </w:t>
      </w:r>
      <w:proofErr w:type="spellStart"/>
      <w:r w:rsidRPr="00BC2198">
        <w:rPr>
          <w:rFonts w:asciiTheme="minorHAnsi" w:hAnsiTheme="minorHAnsi"/>
        </w:rPr>
        <w:t>trankingowej</w:t>
      </w:r>
      <w:proofErr w:type="spellEnd"/>
      <w:r w:rsidRPr="00BC2198">
        <w:rPr>
          <w:rFonts w:asciiTheme="minorHAnsi" w:hAnsiTheme="minorHAnsi"/>
        </w:rPr>
        <w:t xml:space="preserve"> </w:t>
      </w:r>
      <w:r w:rsidR="007E64F6">
        <w:rPr>
          <w:rFonts w:asciiTheme="minorHAnsi" w:hAnsiTheme="minorHAnsi"/>
        </w:rPr>
        <w:t>(</w:t>
      </w:r>
      <w:r w:rsidR="007E64F6" w:rsidRPr="007E64F6">
        <w:rPr>
          <w:rFonts w:asciiTheme="minorHAnsi" w:hAnsiTheme="minorHAnsi"/>
        </w:rPr>
        <w:t xml:space="preserve">łączności </w:t>
      </w:r>
      <w:r w:rsidR="007E64F6" w:rsidRPr="007E64F6">
        <w:rPr>
          <w:rFonts w:asciiTheme="minorHAnsi" w:hAnsiTheme="minorHAnsi"/>
        </w:rPr>
        <w:lastRenderedPageBreak/>
        <w:t>dyspozytorskiej</w:t>
      </w:r>
      <w:r w:rsidR="007E64F6">
        <w:rPr>
          <w:rFonts w:asciiTheme="minorHAnsi" w:hAnsiTheme="minorHAnsi"/>
        </w:rPr>
        <w:t>)</w:t>
      </w:r>
      <w:r w:rsidR="007E64F6" w:rsidRPr="007E64F6">
        <w:rPr>
          <w:rFonts w:asciiTheme="minorHAnsi" w:hAnsiTheme="minorHAnsi"/>
        </w:rPr>
        <w:t xml:space="preserve"> </w:t>
      </w:r>
      <w:r w:rsidRPr="007E64F6">
        <w:rPr>
          <w:rFonts w:asciiTheme="minorHAnsi" w:hAnsiTheme="minorHAnsi"/>
        </w:rPr>
        <w:t>d</w:t>
      </w:r>
      <w:r w:rsidRPr="00BC2198">
        <w:rPr>
          <w:rFonts w:asciiTheme="minorHAnsi" w:hAnsiTheme="minorHAnsi"/>
        </w:rPr>
        <w:t xml:space="preserve">ziałającej w standardzie TETRA. W tym kontekście niezbędne wydaje się wprowadzenie w ramach projektowanej ustawy </w:t>
      </w:r>
      <w:r w:rsidR="007E64F6" w:rsidRPr="00BC2198">
        <w:rPr>
          <w:rFonts w:asciiTheme="minorHAnsi" w:hAnsiTheme="minorHAnsi"/>
        </w:rPr>
        <w:t>przepis</w:t>
      </w:r>
      <w:r w:rsidR="007E64F6">
        <w:rPr>
          <w:rFonts w:asciiTheme="minorHAnsi" w:hAnsiTheme="minorHAnsi"/>
        </w:rPr>
        <w:t>u</w:t>
      </w:r>
      <w:r w:rsidR="007E64F6" w:rsidRPr="00BC2198">
        <w:rPr>
          <w:rFonts w:asciiTheme="minorHAnsi" w:hAnsiTheme="minorHAnsi"/>
        </w:rPr>
        <w:t xml:space="preserve"> </w:t>
      </w:r>
      <w:r w:rsidRPr="00BC2198">
        <w:rPr>
          <w:rFonts w:asciiTheme="minorHAnsi" w:hAnsiTheme="minorHAnsi"/>
        </w:rPr>
        <w:t>stanowiące</w:t>
      </w:r>
      <w:r w:rsidR="007E64F6">
        <w:rPr>
          <w:rFonts w:asciiTheme="minorHAnsi" w:hAnsiTheme="minorHAnsi"/>
        </w:rPr>
        <w:t>go</w:t>
      </w:r>
      <w:r w:rsidRPr="00BC2198">
        <w:rPr>
          <w:rFonts w:asciiTheme="minorHAnsi" w:hAnsiTheme="minorHAnsi"/>
        </w:rPr>
        <w:t xml:space="preserve">, </w:t>
      </w:r>
      <w:r w:rsidR="00217A46">
        <w:rPr>
          <w:rFonts w:asciiTheme="minorHAnsi" w:hAnsiTheme="minorHAnsi"/>
        </w:rPr>
        <w:t>że</w:t>
      </w:r>
      <w:r w:rsidRPr="00BC2198">
        <w:rPr>
          <w:rFonts w:asciiTheme="minorHAnsi" w:hAnsiTheme="minorHAnsi"/>
        </w:rPr>
        <w:t xml:space="preserve"> </w:t>
      </w:r>
      <w:r w:rsidR="007E64F6">
        <w:rPr>
          <w:rFonts w:asciiTheme="minorHAnsi" w:hAnsiTheme="minorHAnsi"/>
        </w:rPr>
        <w:t>w celu</w:t>
      </w:r>
      <w:r w:rsidRPr="00BC2198">
        <w:rPr>
          <w:rFonts w:asciiTheme="minorHAnsi" w:hAnsiTheme="minorHAnsi"/>
        </w:rPr>
        <w:t xml:space="preserve"> </w:t>
      </w:r>
      <w:r w:rsidR="007E64F6">
        <w:rPr>
          <w:rFonts w:asciiTheme="minorHAnsi" w:hAnsiTheme="minorHAnsi"/>
        </w:rPr>
        <w:t xml:space="preserve">zagwarantowania komunikacji terenowej </w:t>
      </w:r>
      <w:r w:rsidRPr="00BC2198">
        <w:rPr>
          <w:rFonts w:asciiTheme="minorHAnsi" w:hAnsiTheme="minorHAnsi"/>
        </w:rPr>
        <w:t xml:space="preserve">służb </w:t>
      </w:r>
      <w:r w:rsidR="007E64F6">
        <w:rPr>
          <w:rFonts w:asciiTheme="minorHAnsi" w:hAnsiTheme="minorHAnsi"/>
        </w:rPr>
        <w:t>działa</w:t>
      </w:r>
      <w:r w:rsidRPr="00BC2198">
        <w:rPr>
          <w:rFonts w:asciiTheme="minorHAnsi" w:hAnsiTheme="minorHAnsi"/>
        </w:rPr>
        <w:t xml:space="preserve"> system </w:t>
      </w:r>
      <w:r w:rsidR="007E64F6" w:rsidRPr="007E64F6">
        <w:rPr>
          <w:rFonts w:asciiTheme="minorHAnsi" w:hAnsiTheme="minorHAnsi"/>
        </w:rPr>
        <w:t>cyfrowej radiotelefonicznej łączności dyspozytorskiej</w:t>
      </w:r>
      <w:r w:rsidRPr="007E64F6">
        <w:rPr>
          <w:rFonts w:asciiTheme="minorHAnsi" w:hAnsiTheme="minorHAnsi"/>
        </w:rPr>
        <w:t>,</w:t>
      </w:r>
      <w:r w:rsidRPr="00BC2198">
        <w:rPr>
          <w:rFonts w:asciiTheme="minorHAnsi" w:hAnsiTheme="minorHAnsi"/>
        </w:rPr>
        <w:t xml:space="preserve"> zapewniający interoperacyjność komunikacyjną wszystkich podmiotów korzystających</w:t>
      </w:r>
      <w:r w:rsidR="007E64F6">
        <w:rPr>
          <w:rFonts w:asciiTheme="minorHAnsi" w:hAnsiTheme="minorHAnsi"/>
        </w:rPr>
        <w:t xml:space="preserve"> </w:t>
      </w:r>
      <w:r w:rsidRPr="00BC2198">
        <w:rPr>
          <w:rFonts w:asciiTheme="minorHAnsi" w:hAnsiTheme="minorHAnsi"/>
        </w:rPr>
        <w:t xml:space="preserve">z tego systemu. </w:t>
      </w:r>
      <w:r w:rsidR="007E64F6">
        <w:rPr>
          <w:rFonts w:asciiTheme="minorHAnsi" w:hAnsiTheme="minorHAnsi"/>
        </w:rPr>
        <w:t>Uzasadniając tę propozycję w</w:t>
      </w:r>
      <w:r w:rsidRPr="00BC2198">
        <w:rPr>
          <w:rFonts w:asciiTheme="minorHAnsi" w:hAnsiTheme="minorHAnsi"/>
        </w:rPr>
        <w:t xml:space="preserve">skazać należy, że obecnie system TETRA budowany jest </w:t>
      </w:r>
      <w:r w:rsidR="007E64F6">
        <w:rPr>
          <w:rFonts w:asciiTheme="minorHAnsi" w:hAnsiTheme="minorHAnsi"/>
        </w:rPr>
        <w:t xml:space="preserve">przez różne podmioty </w:t>
      </w:r>
      <w:r w:rsidRPr="00BC2198">
        <w:rPr>
          <w:rFonts w:asciiTheme="minorHAnsi" w:hAnsiTheme="minorHAnsi"/>
        </w:rPr>
        <w:t>częściowo w oparciu o różne technologie, które nie zapewniają pełnej kompatybilności na poziomie wybranych służb</w:t>
      </w:r>
      <w:r w:rsidR="0085055D">
        <w:rPr>
          <w:rFonts w:asciiTheme="minorHAnsi" w:hAnsiTheme="minorHAnsi"/>
        </w:rPr>
        <w:t xml:space="preserve">, </w:t>
      </w:r>
      <w:r w:rsidRPr="00BC2198">
        <w:rPr>
          <w:rFonts w:asciiTheme="minorHAnsi" w:hAnsiTheme="minorHAnsi"/>
        </w:rPr>
        <w:t xml:space="preserve">co uniemożliwia ich wspólną </w:t>
      </w:r>
      <w:r w:rsidR="00C71B58">
        <w:rPr>
          <w:rFonts w:asciiTheme="minorHAnsi" w:hAnsiTheme="minorHAnsi"/>
        </w:rPr>
        <w:t xml:space="preserve">niezawodną </w:t>
      </w:r>
      <w:r w:rsidRPr="00BC2198">
        <w:rPr>
          <w:rFonts w:asciiTheme="minorHAnsi" w:hAnsiTheme="minorHAnsi"/>
        </w:rPr>
        <w:t xml:space="preserve">komunikację w każdych </w:t>
      </w:r>
      <w:r w:rsidR="00C71B58">
        <w:rPr>
          <w:rFonts w:asciiTheme="minorHAnsi" w:hAnsiTheme="minorHAnsi"/>
        </w:rPr>
        <w:t xml:space="preserve">wymagających tego </w:t>
      </w:r>
      <w:r w:rsidRPr="00BC2198">
        <w:rPr>
          <w:rFonts w:asciiTheme="minorHAnsi" w:hAnsiTheme="minorHAnsi"/>
        </w:rPr>
        <w:t xml:space="preserve">warunkach. Zaproponowane rozszerzenie brzmienia projektowanych regulacji ma na celu uniknięcie dalszego rozwoju systemu TETRA w sposób tzw. „wyspowy” oraz podjęcie </w:t>
      </w:r>
      <w:r w:rsidR="007E64F6">
        <w:rPr>
          <w:rFonts w:asciiTheme="minorHAnsi" w:hAnsiTheme="minorHAnsi"/>
        </w:rPr>
        <w:t xml:space="preserve">skutecznych </w:t>
      </w:r>
      <w:r w:rsidRPr="00BC2198">
        <w:rPr>
          <w:rFonts w:asciiTheme="minorHAnsi" w:hAnsiTheme="minorHAnsi"/>
        </w:rPr>
        <w:t xml:space="preserve">działań na rzecz budowy jednolitego środowiska </w:t>
      </w:r>
      <w:r w:rsidR="00C71B58">
        <w:rPr>
          <w:rFonts w:asciiTheme="minorHAnsi" w:hAnsiTheme="minorHAnsi"/>
        </w:rPr>
        <w:t xml:space="preserve">cyfrowej </w:t>
      </w:r>
      <w:r w:rsidRPr="00BC2198">
        <w:rPr>
          <w:rFonts w:asciiTheme="minorHAnsi" w:hAnsiTheme="minorHAnsi"/>
        </w:rPr>
        <w:t xml:space="preserve">łączności </w:t>
      </w:r>
      <w:r w:rsidR="00C71B58">
        <w:rPr>
          <w:rFonts w:asciiTheme="minorHAnsi" w:hAnsiTheme="minorHAnsi"/>
        </w:rPr>
        <w:t xml:space="preserve">radiowej, </w:t>
      </w:r>
      <w:r w:rsidRPr="00BC2198">
        <w:rPr>
          <w:rFonts w:asciiTheme="minorHAnsi" w:hAnsiTheme="minorHAnsi"/>
        </w:rPr>
        <w:t>niezależnego od działania infrastruktury telekomunikacyjnej operatorów oraz zapewniającego bezpośrednią łączność wszystkich służb właściwych do ochrony bezpieczeństwa państwa, porządku publicznego oraz zdrowia i życia obywateli.</w:t>
      </w:r>
    </w:p>
    <w:p w:rsidR="00B96E0B" w:rsidRDefault="00C71B58" w:rsidP="007A417D">
      <w:pPr>
        <w:spacing w:after="120" w:line="23" w:lineRule="atLeast"/>
        <w:ind w:firstLine="567"/>
        <w:jc w:val="both"/>
        <w:rPr>
          <w:rFonts w:asciiTheme="minorHAnsi" w:hAnsiTheme="minorHAnsi"/>
        </w:rPr>
      </w:pPr>
      <w:r>
        <w:rPr>
          <w:rFonts w:asciiTheme="minorHAnsi" w:hAnsiTheme="minorHAnsi"/>
        </w:rPr>
        <w:t>O</w:t>
      </w:r>
      <w:r w:rsidR="00B96E0B" w:rsidRPr="00B96E0B">
        <w:rPr>
          <w:rFonts w:asciiTheme="minorHAnsi" w:hAnsiTheme="minorHAnsi"/>
        </w:rPr>
        <w:t xml:space="preserve">dnosząc się do </w:t>
      </w:r>
      <w:r w:rsidR="00667F37">
        <w:rPr>
          <w:rFonts w:asciiTheme="minorHAnsi" w:hAnsiTheme="minorHAnsi"/>
        </w:rPr>
        <w:t xml:space="preserve">przepisu art. 5 </w:t>
      </w:r>
      <w:r w:rsidR="00667F37" w:rsidRPr="00667F37">
        <w:rPr>
          <w:rFonts w:asciiTheme="minorHAnsi" w:hAnsiTheme="minorHAnsi"/>
        </w:rPr>
        <w:t>który stanowi o wyodrębniony</w:t>
      </w:r>
      <w:r w:rsidR="00667F37">
        <w:rPr>
          <w:rFonts w:asciiTheme="minorHAnsi" w:hAnsiTheme="minorHAnsi"/>
        </w:rPr>
        <w:t>m ze struktury organizacyjnej SŁ</w:t>
      </w:r>
      <w:r w:rsidR="00667F37" w:rsidRPr="00667F37">
        <w:rPr>
          <w:rFonts w:asciiTheme="minorHAnsi" w:hAnsiTheme="minorHAnsi"/>
        </w:rPr>
        <w:t>R komponencie łączności mobilnej</w:t>
      </w:r>
      <w:r w:rsidR="00667F37">
        <w:rPr>
          <w:rFonts w:asciiTheme="minorHAnsi" w:hAnsiTheme="minorHAnsi"/>
        </w:rPr>
        <w:t xml:space="preserve"> proponuję nadanie temu przepisowi następującego brzmienia:</w:t>
      </w:r>
    </w:p>
    <w:p w:rsidR="00667F37" w:rsidRPr="000D24A0" w:rsidRDefault="007A417D" w:rsidP="000D24A0">
      <w:pPr>
        <w:spacing w:line="23" w:lineRule="atLeast"/>
        <w:ind w:left="709"/>
        <w:jc w:val="both"/>
        <w:rPr>
          <w:rFonts w:asciiTheme="minorHAnsi" w:hAnsiTheme="minorHAnsi"/>
          <w:i/>
        </w:rPr>
      </w:pPr>
      <w:r w:rsidRPr="000D24A0">
        <w:rPr>
          <w:rFonts w:asciiTheme="minorHAnsi" w:hAnsiTheme="minorHAnsi"/>
          <w:i/>
        </w:rPr>
        <w:t>„</w:t>
      </w:r>
      <w:r w:rsidR="00667F37" w:rsidRPr="000D24A0">
        <w:rPr>
          <w:rFonts w:asciiTheme="minorHAnsi" w:hAnsiTheme="minorHAnsi"/>
          <w:i/>
        </w:rPr>
        <w:t>Art. 5. 1. Z SŁR współpracuje wyodrębniony system łączności mobilnej.</w:t>
      </w:r>
    </w:p>
    <w:p w:rsidR="00667F37" w:rsidRPr="000D24A0" w:rsidRDefault="00667F37" w:rsidP="000D24A0">
      <w:pPr>
        <w:spacing w:line="23" w:lineRule="atLeast"/>
        <w:ind w:left="709"/>
        <w:jc w:val="both"/>
        <w:rPr>
          <w:rFonts w:asciiTheme="minorHAnsi" w:hAnsiTheme="minorHAnsi"/>
          <w:i/>
        </w:rPr>
      </w:pPr>
      <w:r w:rsidRPr="000D24A0">
        <w:rPr>
          <w:rFonts w:asciiTheme="minorHAnsi" w:hAnsiTheme="minorHAnsi"/>
          <w:i/>
        </w:rPr>
        <w:t>2. System łączności mobilnej może być wykorzystywany w celu zapewnienia użytkownikom końcowym SŁR dostępu do usług niejawnej łączności mobilnej.</w:t>
      </w:r>
    </w:p>
    <w:p w:rsidR="00667F37" w:rsidRPr="000D24A0" w:rsidRDefault="00667F37" w:rsidP="007A417D">
      <w:pPr>
        <w:spacing w:after="120" w:line="23" w:lineRule="atLeast"/>
        <w:ind w:left="709"/>
        <w:jc w:val="both"/>
        <w:rPr>
          <w:rFonts w:asciiTheme="minorHAnsi" w:hAnsiTheme="minorHAnsi"/>
          <w:i/>
        </w:rPr>
      </w:pPr>
      <w:r w:rsidRPr="000D24A0">
        <w:rPr>
          <w:rFonts w:asciiTheme="minorHAnsi" w:hAnsiTheme="minorHAnsi"/>
          <w:i/>
        </w:rPr>
        <w:t xml:space="preserve">3. </w:t>
      </w:r>
      <w:r w:rsidR="007A417D" w:rsidRPr="000D24A0">
        <w:rPr>
          <w:rFonts w:asciiTheme="minorHAnsi" w:hAnsiTheme="minorHAnsi"/>
          <w:i/>
        </w:rPr>
        <w:t>Operatorem s</w:t>
      </w:r>
      <w:r w:rsidRPr="000D24A0">
        <w:rPr>
          <w:rFonts w:asciiTheme="minorHAnsi" w:hAnsiTheme="minorHAnsi"/>
          <w:i/>
        </w:rPr>
        <w:t>ystem</w:t>
      </w:r>
      <w:r w:rsidR="007A417D" w:rsidRPr="000D24A0">
        <w:rPr>
          <w:rFonts w:asciiTheme="minorHAnsi" w:hAnsiTheme="minorHAnsi"/>
          <w:i/>
        </w:rPr>
        <w:t>u</w:t>
      </w:r>
      <w:r w:rsidRPr="000D24A0">
        <w:rPr>
          <w:rFonts w:asciiTheme="minorHAnsi" w:hAnsiTheme="minorHAnsi"/>
          <w:i/>
        </w:rPr>
        <w:t xml:space="preserve"> łączności mobilnej </w:t>
      </w:r>
      <w:r w:rsidR="007A417D" w:rsidRPr="000D24A0">
        <w:rPr>
          <w:rFonts w:asciiTheme="minorHAnsi" w:hAnsiTheme="minorHAnsi"/>
          <w:i/>
        </w:rPr>
        <w:t xml:space="preserve">jest </w:t>
      </w:r>
      <w:r w:rsidRPr="000D24A0">
        <w:rPr>
          <w:rFonts w:asciiTheme="minorHAnsi" w:hAnsiTheme="minorHAnsi"/>
          <w:i/>
        </w:rPr>
        <w:t>Szef Agencji Bezpieczeństwa Wewnętrznego.</w:t>
      </w:r>
      <w:r w:rsidR="007A417D" w:rsidRPr="000D24A0">
        <w:rPr>
          <w:rFonts w:asciiTheme="minorHAnsi" w:hAnsiTheme="minorHAnsi"/>
          <w:i/>
        </w:rPr>
        <w:t>”</w:t>
      </w:r>
    </w:p>
    <w:p w:rsidR="00667F37" w:rsidRPr="00B96E0B" w:rsidRDefault="007A417D" w:rsidP="007A417D">
      <w:pPr>
        <w:spacing w:after="120" w:line="23" w:lineRule="atLeast"/>
        <w:ind w:firstLine="708"/>
        <w:jc w:val="both"/>
        <w:rPr>
          <w:rFonts w:asciiTheme="minorHAnsi" w:hAnsiTheme="minorHAnsi"/>
        </w:rPr>
      </w:pPr>
      <w:r>
        <w:rPr>
          <w:rFonts w:asciiTheme="minorHAnsi" w:hAnsiTheme="minorHAnsi"/>
        </w:rPr>
        <w:t xml:space="preserve">Proponowane zmiany przepisu polegają przede wszystkim na ukształtowaniu treści ust. 1 w sposób, który </w:t>
      </w:r>
      <w:r w:rsidR="00664191">
        <w:rPr>
          <w:rFonts w:asciiTheme="minorHAnsi" w:hAnsiTheme="minorHAnsi"/>
        </w:rPr>
        <w:t>umożliwi</w:t>
      </w:r>
      <w:r>
        <w:rPr>
          <w:rFonts w:asciiTheme="minorHAnsi" w:hAnsiTheme="minorHAnsi"/>
        </w:rPr>
        <w:t xml:space="preserve"> </w:t>
      </w:r>
      <w:r w:rsidR="00664191">
        <w:rPr>
          <w:rFonts w:asciiTheme="minorHAnsi" w:hAnsiTheme="minorHAnsi"/>
        </w:rPr>
        <w:t xml:space="preserve">interoperacyjność </w:t>
      </w:r>
      <w:r>
        <w:rPr>
          <w:rFonts w:asciiTheme="minorHAnsi" w:hAnsiTheme="minorHAnsi"/>
        </w:rPr>
        <w:t xml:space="preserve">z systemem  SŁR oraz na </w:t>
      </w:r>
      <w:r w:rsidR="00667F37" w:rsidRPr="00667F37">
        <w:rPr>
          <w:rFonts w:asciiTheme="minorHAnsi" w:hAnsiTheme="minorHAnsi"/>
        </w:rPr>
        <w:t>wykreśl</w:t>
      </w:r>
      <w:r>
        <w:rPr>
          <w:rFonts w:asciiTheme="minorHAnsi" w:hAnsiTheme="minorHAnsi"/>
        </w:rPr>
        <w:t>eniu</w:t>
      </w:r>
      <w:r w:rsidR="00667F37" w:rsidRPr="00667F37">
        <w:rPr>
          <w:rFonts w:asciiTheme="minorHAnsi" w:hAnsiTheme="minorHAnsi"/>
        </w:rPr>
        <w:t xml:space="preserve"> </w:t>
      </w:r>
      <w:r>
        <w:rPr>
          <w:rFonts w:asciiTheme="minorHAnsi" w:hAnsiTheme="minorHAnsi"/>
        </w:rPr>
        <w:t xml:space="preserve">w ust. 2 wyrazów </w:t>
      </w:r>
      <w:r w:rsidR="00667F37" w:rsidRPr="00667F37">
        <w:rPr>
          <w:rFonts w:asciiTheme="minorHAnsi" w:hAnsiTheme="minorHAnsi"/>
        </w:rPr>
        <w:t>„użytkownikom instytucjonalnym SŁR". Zmiana ta pozwoli na ścisłe doprecyzowanie katalogu osób, które mogą stać się użytkownikami końcowymi systemu mobilnego obsługiwanego w całości przez ABW (katalog użytkowników końcowych jest określony w art. 8</w:t>
      </w:r>
      <w:r w:rsidR="000D24A0">
        <w:rPr>
          <w:rFonts w:asciiTheme="minorHAnsi" w:hAnsiTheme="minorHAnsi"/>
        </w:rPr>
        <w:t xml:space="preserve"> ust. 1, a przepisy ust. 2 i 3 umożliwiają nadanie uprawnień dla innych osób</w:t>
      </w:r>
      <w:r w:rsidR="00667F37" w:rsidRPr="00667F37">
        <w:rPr>
          <w:rFonts w:asciiTheme="minorHAnsi" w:hAnsiTheme="minorHAnsi"/>
        </w:rPr>
        <w:t>).  Analogiczna zmiana powinna zostać wprowadzona także w przepisach art. 18 ust. 2 oraz art. 22 ust. 2 pkt 3 i 4 - które odsyłają się do ww. art. 5.</w:t>
      </w:r>
    </w:p>
    <w:p w:rsidR="00B96E0B" w:rsidRPr="00B96E0B" w:rsidRDefault="007A417D" w:rsidP="007A417D">
      <w:pPr>
        <w:spacing w:after="120" w:line="23" w:lineRule="atLeast"/>
        <w:ind w:firstLine="708"/>
        <w:jc w:val="both"/>
        <w:rPr>
          <w:rFonts w:asciiTheme="minorHAnsi" w:hAnsiTheme="minorHAnsi"/>
        </w:rPr>
      </w:pPr>
      <w:r>
        <w:rPr>
          <w:rFonts w:asciiTheme="minorHAnsi" w:hAnsiTheme="minorHAnsi"/>
        </w:rPr>
        <w:t xml:space="preserve">Należy także sformułować postulat, aby  </w:t>
      </w:r>
      <w:r w:rsidR="00B96E0B" w:rsidRPr="00B96E0B">
        <w:rPr>
          <w:rFonts w:asciiTheme="minorHAnsi" w:hAnsiTheme="minorHAnsi"/>
        </w:rPr>
        <w:t xml:space="preserve">obsługa opisanego w przepisie </w:t>
      </w:r>
      <w:r w:rsidR="00664191">
        <w:rPr>
          <w:rFonts w:asciiTheme="minorHAnsi" w:hAnsiTheme="minorHAnsi"/>
        </w:rPr>
        <w:t xml:space="preserve">art. 5 </w:t>
      </w:r>
      <w:r w:rsidR="00B96E0B" w:rsidRPr="00B96E0B">
        <w:rPr>
          <w:rFonts w:asciiTheme="minorHAnsi" w:hAnsiTheme="minorHAnsi"/>
        </w:rPr>
        <w:t>systemu mobilnego na niższych poziomach użytkowników (w szczególności dla podmiotów wymienionych w przepisie</w:t>
      </w:r>
      <w:r w:rsidR="00C71B58">
        <w:rPr>
          <w:rFonts w:asciiTheme="minorHAnsi" w:hAnsiTheme="minorHAnsi"/>
        </w:rPr>
        <w:t xml:space="preserve"> </w:t>
      </w:r>
      <w:r w:rsidR="00B96E0B" w:rsidRPr="00B96E0B">
        <w:rPr>
          <w:rFonts w:asciiTheme="minorHAnsi" w:hAnsiTheme="minorHAnsi"/>
        </w:rPr>
        <w:t xml:space="preserve">art. 7 projektowanej ustawy, w tym szczebla terenowego), </w:t>
      </w:r>
      <w:r w:rsidR="00AC27F4">
        <w:rPr>
          <w:rFonts w:asciiTheme="minorHAnsi" w:hAnsiTheme="minorHAnsi"/>
        </w:rPr>
        <w:t>została</w:t>
      </w:r>
      <w:r w:rsidR="00B96E0B" w:rsidRPr="00B96E0B">
        <w:rPr>
          <w:rFonts w:asciiTheme="minorHAnsi" w:hAnsiTheme="minorHAnsi"/>
        </w:rPr>
        <w:t xml:space="preserve"> zorganizowana przez wyznaczony podmiot pełniący rolę </w:t>
      </w:r>
      <w:r w:rsidR="00AC27F4">
        <w:rPr>
          <w:rFonts w:asciiTheme="minorHAnsi" w:hAnsiTheme="minorHAnsi"/>
        </w:rPr>
        <w:t xml:space="preserve">organizatora </w:t>
      </w:r>
      <w:r w:rsidR="00B96E0B" w:rsidRPr="00B96E0B">
        <w:rPr>
          <w:rFonts w:asciiTheme="minorHAnsi" w:hAnsiTheme="minorHAnsi"/>
        </w:rPr>
        <w:t xml:space="preserve">sieci na potrzeby administracji, przy współudziale poszczególnych resortów oraz organów (analogicznie do </w:t>
      </w:r>
      <w:r w:rsidR="00C71B58" w:rsidRPr="00B96E0B">
        <w:rPr>
          <w:rFonts w:asciiTheme="minorHAnsi" w:hAnsiTheme="minorHAnsi"/>
        </w:rPr>
        <w:t>funkcjonowania</w:t>
      </w:r>
      <w:r w:rsidR="00C71B58">
        <w:rPr>
          <w:rFonts w:asciiTheme="minorHAnsi" w:hAnsiTheme="minorHAnsi"/>
        </w:rPr>
        <w:t xml:space="preserve"> SŁ</w:t>
      </w:r>
      <w:r w:rsidR="00B96E0B" w:rsidRPr="00B96E0B">
        <w:rPr>
          <w:rFonts w:asciiTheme="minorHAnsi" w:hAnsiTheme="minorHAnsi"/>
        </w:rPr>
        <w:t>R).</w:t>
      </w:r>
    </w:p>
    <w:p w:rsidR="00B96E0B" w:rsidRPr="00B96E0B" w:rsidRDefault="00B96E0B" w:rsidP="007A417D">
      <w:pPr>
        <w:spacing w:after="120" w:line="23" w:lineRule="atLeast"/>
        <w:ind w:firstLine="708"/>
        <w:jc w:val="both"/>
        <w:rPr>
          <w:rFonts w:asciiTheme="minorHAnsi" w:hAnsiTheme="minorHAnsi"/>
        </w:rPr>
      </w:pPr>
      <w:r w:rsidRPr="00B96E0B">
        <w:rPr>
          <w:rFonts w:asciiTheme="minorHAnsi" w:hAnsiTheme="minorHAnsi"/>
        </w:rPr>
        <w:t xml:space="preserve">Warto w tym miejscu nadmienić, iż budowa przywołanego systemu </w:t>
      </w:r>
      <w:r w:rsidR="00664191">
        <w:rPr>
          <w:rFonts w:asciiTheme="minorHAnsi" w:hAnsiTheme="minorHAnsi"/>
        </w:rPr>
        <w:t xml:space="preserve">mobilnego </w:t>
      </w:r>
      <w:r w:rsidRPr="00B96E0B">
        <w:rPr>
          <w:rFonts w:asciiTheme="minorHAnsi" w:hAnsiTheme="minorHAnsi"/>
        </w:rPr>
        <w:t>winna zostać oparta o rozwiązania techniczne zaprojektowa</w:t>
      </w:r>
      <w:r w:rsidR="00664191">
        <w:rPr>
          <w:rFonts w:asciiTheme="minorHAnsi" w:hAnsiTheme="minorHAnsi"/>
        </w:rPr>
        <w:t xml:space="preserve">ne na rzecz systemu CATEL III, </w:t>
      </w:r>
      <w:r w:rsidRPr="00B96E0B">
        <w:rPr>
          <w:rFonts w:asciiTheme="minorHAnsi" w:hAnsiTheme="minorHAnsi"/>
        </w:rPr>
        <w:t xml:space="preserve">który faktycznie stanowi rozwiązanie teleinformatyczne realizujące funkcjonalności opisane w projekcie w art. 5. W związku z </w:t>
      </w:r>
      <w:r w:rsidR="00664191">
        <w:rPr>
          <w:rFonts w:asciiTheme="minorHAnsi" w:hAnsiTheme="minorHAnsi"/>
        </w:rPr>
        <w:t>tym pozostaje propozycja</w:t>
      </w:r>
      <w:r w:rsidRPr="00B96E0B">
        <w:rPr>
          <w:rFonts w:asciiTheme="minorHAnsi" w:hAnsiTheme="minorHAnsi"/>
        </w:rPr>
        <w:t xml:space="preserve"> oparcia całego komponentu mobilnego na rozwiązaniu opracowanym przez ABW, która jest w stanie udzielić wsparcia w zakresie przygotowania przyszłego systemu rozległego zarówno w obszarze doboru technologii kompatybilnych, jego organizacji, jak również udostępnienia określonych certyfikowanych rozwiązań teleinformatycznych, których gestorem pozostaje ABW.</w:t>
      </w:r>
    </w:p>
    <w:p w:rsidR="00BC2198" w:rsidRDefault="00C71B58" w:rsidP="007A417D">
      <w:pPr>
        <w:spacing w:after="120" w:line="23" w:lineRule="atLeast"/>
        <w:ind w:firstLine="708"/>
        <w:jc w:val="both"/>
        <w:rPr>
          <w:rFonts w:asciiTheme="minorHAnsi" w:hAnsiTheme="minorHAnsi"/>
        </w:rPr>
      </w:pPr>
      <w:r w:rsidRPr="00B96E0B">
        <w:rPr>
          <w:rFonts w:asciiTheme="minorHAnsi" w:hAnsiTheme="minorHAnsi"/>
        </w:rPr>
        <w:t>Należy wskazać, że</w:t>
      </w:r>
      <w:r w:rsidR="00B96E0B" w:rsidRPr="00B96E0B">
        <w:rPr>
          <w:rFonts w:asciiTheme="minorHAnsi" w:hAnsiTheme="minorHAnsi"/>
        </w:rPr>
        <w:t xml:space="preserve"> wdrożenie </w:t>
      </w:r>
      <w:r w:rsidR="00664191" w:rsidRPr="00B96E0B">
        <w:rPr>
          <w:rFonts w:asciiTheme="minorHAnsi" w:hAnsiTheme="minorHAnsi"/>
        </w:rPr>
        <w:t xml:space="preserve">w możliwie szerokim zakresie </w:t>
      </w:r>
      <w:r w:rsidR="00B96E0B" w:rsidRPr="00B96E0B">
        <w:rPr>
          <w:rFonts w:asciiTheme="minorHAnsi" w:hAnsiTheme="minorHAnsi"/>
        </w:rPr>
        <w:t xml:space="preserve">rozwiązań wykorzystywanych w systemie CATEL III będzie stanowić istotne wzmocnienie poziomu ochrony informacji - zarówno jawnych, jak i niejawnych o klauzuli „ZASTRZEŻONE”, zapewniając przy tym nową w tej skali funkcjonalność łączności mobilnej. </w:t>
      </w:r>
      <w:r w:rsidR="00664191">
        <w:rPr>
          <w:rFonts w:asciiTheme="minorHAnsi" w:hAnsiTheme="minorHAnsi"/>
        </w:rPr>
        <w:t>Natomiast postulowane</w:t>
      </w:r>
      <w:r w:rsidR="00B96E0B" w:rsidRPr="00B96E0B">
        <w:rPr>
          <w:rFonts w:asciiTheme="minorHAnsi" w:hAnsiTheme="minorHAnsi"/>
        </w:rPr>
        <w:t xml:space="preserve"> wdrożenie omawianego systemu mobilnego pod auspicjami podmiotu innego niż służba specjalna, może także w sposób istotny przyczynić się do wzrostu jego faktycznego wykorzystania w administracji publicznej do realizacji </w:t>
      </w:r>
      <w:r w:rsidR="00B96E0B" w:rsidRPr="00B96E0B">
        <w:rPr>
          <w:rFonts w:asciiTheme="minorHAnsi" w:hAnsiTheme="minorHAnsi"/>
        </w:rPr>
        <w:lastRenderedPageBreak/>
        <w:t>bieżących działań, a nie zaś postrzegania go wyłącznie jako narzędzia ściśle dedykowanego do podejmowania czynności na rzecz bezpieczeństwa państwa.</w:t>
      </w:r>
    </w:p>
    <w:p w:rsidR="00BC2198" w:rsidRPr="00BC2198" w:rsidRDefault="00BC2198" w:rsidP="00BC2198">
      <w:pPr>
        <w:spacing w:after="120" w:line="23" w:lineRule="atLeast"/>
        <w:jc w:val="both"/>
        <w:rPr>
          <w:rFonts w:asciiTheme="minorHAnsi" w:hAnsiTheme="minorHAnsi"/>
          <w:b/>
        </w:rPr>
      </w:pPr>
      <w:r w:rsidRPr="00BC2198">
        <w:rPr>
          <w:rFonts w:asciiTheme="minorHAnsi" w:hAnsiTheme="minorHAnsi"/>
          <w:b/>
        </w:rPr>
        <w:t>II. Uwagi szczegółowe</w:t>
      </w:r>
    </w:p>
    <w:p w:rsidR="00BC2198" w:rsidRDefault="00BC2198" w:rsidP="00BC2198">
      <w:pPr>
        <w:spacing w:after="120" w:line="23" w:lineRule="atLeast"/>
        <w:jc w:val="both"/>
        <w:rPr>
          <w:rFonts w:asciiTheme="minorHAnsi" w:hAnsiTheme="minorHAnsi"/>
        </w:rPr>
      </w:pPr>
      <w:r w:rsidRPr="00BC2198">
        <w:rPr>
          <w:rFonts w:asciiTheme="minorHAnsi" w:hAnsiTheme="minorHAnsi"/>
        </w:rPr>
        <w:t xml:space="preserve">Odnosząc się do poszczególnych przepisów zawartych w projekcie ustawy, </w:t>
      </w:r>
      <w:r w:rsidRPr="00BC2198">
        <w:rPr>
          <w:rFonts w:asciiTheme="minorHAnsi" w:hAnsiTheme="minorHAnsi"/>
        </w:rPr>
        <w:br/>
      </w:r>
      <w:r w:rsidR="00664191">
        <w:rPr>
          <w:rFonts w:asciiTheme="minorHAnsi" w:hAnsiTheme="minorHAnsi"/>
        </w:rPr>
        <w:t>proponuję</w:t>
      </w:r>
      <w:r w:rsidRPr="004450CE">
        <w:rPr>
          <w:rFonts w:asciiTheme="minorHAnsi" w:hAnsiTheme="minorHAnsi"/>
        </w:rPr>
        <w:t xml:space="preserve"> wprowadzenie </w:t>
      </w:r>
      <w:r w:rsidR="00664191" w:rsidRPr="004450CE">
        <w:rPr>
          <w:rFonts w:asciiTheme="minorHAnsi" w:hAnsiTheme="minorHAnsi"/>
        </w:rPr>
        <w:t xml:space="preserve">następujących </w:t>
      </w:r>
      <w:r w:rsidRPr="004450CE">
        <w:rPr>
          <w:rFonts w:asciiTheme="minorHAnsi" w:hAnsiTheme="minorHAnsi"/>
        </w:rPr>
        <w:t xml:space="preserve">zmian w </w:t>
      </w:r>
      <w:r w:rsidR="00664191">
        <w:rPr>
          <w:rFonts w:asciiTheme="minorHAnsi" w:hAnsiTheme="minorHAnsi"/>
        </w:rPr>
        <w:t xml:space="preserve">tych </w:t>
      </w:r>
      <w:r w:rsidRPr="004450CE">
        <w:rPr>
          <w:rFonts w:asciiTheme="minorHAnsi" w:hAnsiTheme="minorHAnsi"/>
        </w:rPr>
        <w:t>przepisach</w:t>
      </w:r>
      <w:r w:rsidR="00664191">
        <w:rPr>
          <w:rFonts w:asciiTheme="minorHAnsi" w:hAnsiTheme="minorHAnsi"/>
        </w:rPr>
        <w:t>.</w:t>
      </w:r>
    </w:p>
    <w:p w:rsidR="00B96E0B" w:rsidRPr="00600F68" w:rsidRDefault="00664191" w:rsidP="00600F68">
      <w:pPr>
        <w:pStyle w:val="Akapitzlist"/>
        <w:numPr>
          <w:ilvl w:val="0"/>
          <w:numId w:val="18"/>
        </w:numPr>
        <w:spacing w:after="120" w:line="23" w:lineRule="atLeast"/>
        <w:jc w:val="both"/>
        <w:rPr>
          <w:rFonts w:asciiTheme="minorHAnsi" w:hAnsiTheme="minorHAnsi"/>
        </w:rPr>
      </w:pPr>
      <w:r>
        <w:rPr>
          <w:rFonts w:asciiTheme="minorHAnsi" w:hAnsiTheme="minorHAnsi"/>
        </w:rPr>
        <w:t>W</w:t>
      </w:r>
      <w:r w:rsidR="00B96E0B" w:rsidRPr="00600F68">
        <w:rPr>
          <w:rFonts w:asciiTheme="minorHAnsi" w:hAnsiTheme="minorHAnsi"/>
        </w:rPr>
        <w:t xml:space="preserve"> art. 2 należy usunąć oznaczenie „ust. 1”, gdyż przepis nie zawiera kolejnych ustępów</w:t>
      </w:r>
      <w:r>
        <w:rPr>
          <w:rFonts w:asciiTheme="minorHAnsi" w:hAnsiTheme="minorHAnsi"/>
        </w:rPr>
        <w:t xml:space="preserve"> – uwaga legislacyjna.</w:t>
      </w:r>
    </w:p>
    <w:p w:rsidR="00B96E0B" w:rsidRPr="00664191" w:rsidRDefault="00664191" w:rsidP="00F27010">
      <w:pPr>
        <w:pStyle w:val="Akapitzlist"/>
        <w:numPr>
          <w:ilvl w:val="0"/>
          <w:numId w:val="18"/>
        </w:numPr>
        <w:spacing w:after="120" w:line="23" w:lineRule="atLeast"/>
        <w:jc w:val="both"/>
        <w:rPr>
          <w:rFonts w:asciiTheme="minorHAnsi" w:hAnsiTheme="minorHAnsi"/>
        </w:rPr>
      </w:pPr>
      <w:r w:rsidRPr="00664191">
        <w:rPr>
          <w:rFonts w:asciiTheme="minorHAnsi" w:hAnsiTheme="minorHAnsi"/>
        </w:rPr>
        <w:t>W</w:t>
      </w:r>
      <w:r w:rsidR="00B96E0B" w:rsidRPr="00664191">
        <w:rPr>
          <w:rFonts w:asciiTheme="minorHAnsi" w:hAnsiTheme="minorHAnsi"/>
        </w:rPr>
        <w:t xml:space="preserve"> art. 2 pkt 11 należy zaktualizować metrykę ustawy o ochronie informacji niejawnych</w:t>
      </w:r>
      <w:r w:rsidRPr="00664191">
        <w:rPr>
          <w:rFonts w:asciiTheme="minorHAnsi" w:hAnsiTheme="minorHAnsi"/>
        </w:rPr>
        <w:t>:</w:t>
      </w:r>
      <w:r w:rsidR="00B96E0B" w:rsidRPr="00664191">
        <w:rPr>
          <w:rFonts w:asciiTheme="minorHAnsi" w:hAnsiTheme="minorHAnsi"/>
        </w:rPr>
        <w:t xml:space="preserve">  „Dz. U. z 2019 r. poz. 742”</w:t>
      </w:r>
      <w:r>
        <w:rPr>
          <w:rFonts w:asciiTheme="minorHAnsi" w:hAnsiTheme="minorHAnsi"/>
        </w:rPr>
        <w:t xml:space="preserve"> </w:t>
      </w:r>
      <w:r w:rsidRPr="00664191">
        <w:rPr>
          <w:rFonts w:asciiTheme="minorHAnsi" w:hAnsiTheme="minorHAnsi"/>
        </w:rPr>
        <w:t>– uwaga legislacyjna.</w:t>
      </w:r>
    </w:p>
    <w:p w:rsidR="00772F76" w:rsidRPr="000D24A0" w:rsidRDefault="002F3178" w:rsidP="0026023D">
      <w:pPr>
        <w:pStyle w:val="Akapitzlist"/>
        <w:numPr>
          <w:ilvl w:val="0"/>
          <w:numId w:val="18"/>
        </w:numPr>
        <w:spacing w:after="120" w:line="276" w:lineRule="auto"/>
        <w:jc w:val="both"/>
        <w:rPr>
          <w:rFonts w:asciiTheme="minorHAnsi" w:hAnsiTheme="minorHAnsi"/>
        </w:rPr>
      </w:pPr>
      <w:r w:rsidRPr="000D24A0">
        <w:rPr>
          <w:rFonts w:asciiTheme="minorHAnsi" w:hAnsiTheme="minorHAnsi"/>
        </w:rPr>
        <w:t>W art. 8 ust. 1 projektu wskazano użytkowników końcowych SŁR i systemu łączności mobilnej</w:t>
      </w:r>
      <w:r w:rsidR="00772F76" w:rsidRPr="000D24A0">
        <w:rPr>
          <w:rFonts w:asciiTheme="minorHAnsi" w:hAnsiTheme="minorHAnsi"/>
        </w:rPr>
        <w:t xml:space="preserve">, </w:t>
      </w:r>
      <w:r w:rsidRPr="000D24A0">
        <w:rPr>
          <w:rFonts w:asciiTheme="minorHAnsi" w:hAnsiTheme="minorHAnsi"/>
        </w:rPr>
        <w:t xml:space="preserve">wśród których znaleźli się </w:t>
      </w:r>
      <w:r w:rsidR="00772F76" w:rsidRPr="000D24A0">
        <w:rPr>
          <w:rFonts w:asciiTheme="minorHAnsi" w:hAnsiTheme="minorHAnsi"/>
        </w:rPr>
        <w:t xml:space="preserve">m.in. </w:t>
      </w:r>
      <w:r w:rsidRPr="000D24A0">
        <w:rPr>
          <w:rFonts w:asciiTheme="minorHAnsi" w:hAnsiTheme="minorHAnsi"/>
        </w:rPr>
        <w:t xml:space="preserve">ministrowie kierujący działami administracji rządowej. </w:t>
      </w:r>
      <w:r w:rsidR="00772F76" w:rsidRPr="000D24A0">
        <w:rPr>
          <w:rFonts w:asciiTheme="minorHAnsi" w:hAnsiTheme="minorHAnsi"/>
        </w:rPr>
        <w:t>Należy zauważyć, że w</w:t>
      </w:r>
      <w:r w:rsidRPr="000D24A0">
        <w:rPr>
          <w:rFonts w:asciiTheme="minorHAnsi" w:hAnsiTheme="minorHAnsi"/>
        </w:rPr>
        <w:t xml:space="preserve">śród podmiotów uprawnionych do dostępu do ww. systemów nie wymieniono Ministra – Koordynatora Służb specjalnych. </w:t>
      </w:r>
      <w:r w:rsidR="00C71B58" w:rsidRPr="000D24A0">
        <w:rPr>
          <w:rFonts w:asciiTheme="minorHAnsi" w:hAnsiTheme="minorHAnsi"/>
        </w:rPr>
        <w:t>Mając</w:t>
      </w:r>
      <w:r w:rsidR="00772F76" w:rsidRPr="000D24A0">
        <w:rPr>
          <w:rFonts w:asciiTheme="minorHAnsi" w:hAnsiTheme="minorHAnsi"/>
        </w:rPr>
        <w:t xml:space="preserve"> na względzie zadania Ministra – Koordynatora Służb Specjalnych proponuję uzupełnienie katalogu wskazanego w art. 8 ust. 1 projektu o dodatkowy punkt: </w:t>
      </w:r>
      <w:r w:rsidR="000D24A0">
        <w:rPr>
          <w:rFonts w:asciiTheme="minorHAnsi" w:hAnsiTheme="minorHAnsi"/>
        </w:rPr>
        <w:br/>
      </w:r>
      <w:r w:rsidR="00772F76" w:rsidRPr="000D24A0">
        <w:rPr>
          <w:rFonts w:asciiTheme="minorHAnsi" w:hAnsiTheme="minorHAnsi"/>
        </w:rPr>
        <w:t>„_) Minister – Koordynator Służb Specjalnych – jeżeli został powołany</w:t>
      </w:r>
      <w:r w:rsidR="000D24A0">
        <w:rPr>
          <w:rFonts w:asciiTheme="minorHAnsi" w:hAnsiTheme="minorHAnsi"/>
        </w:rPr>
        <w:t>;</w:t>
      </w:r>
      <w:r w:rsidR="00772F76" w:rsidRPr="000D24A0">
        <w:rPr>
          <w:rFonts w:asciiTheme="minorHAnsi" w:hAnsiTheme="minorHAnsi"/>
        </w:rPr>
        <w:t>”</w:t>
      </w:r>
      <w:r w:rsidR="000D24A0">
        <w:rPr>
          <w:rFonts w:asciiTheme="minorHAnsi" w:hAnsiTheme="minorHAnsi"/>
        </w:rPr>
        <w:t>.</w:t>
      </w:r>
    </w:p>
    <w:p w:rsidR="00BC2198" w:rsidRPr="00600F68" w:rsidRDefault="00BC2198" w:rsidP="00600F68">
      <w:pPr>
        <w:pStyle w:val="Akapitzlist"/>
        <w:numPr>
          <w:ilvl w:val="0"/>
          <w:numId w:val="18"/>
        </w:numPr>
        <w:spacing w:after="120" w:line="23" w:lineRule="atLeast"/>
        <w:jc w:val="both"/>
        <w:rPr>
          <w:rFonts w:asciiTheme="minorHAnsi" w:hAnsiTheme="minorHAnsi"/>
        </w:rPr>
      </w:pPr>
      <w:r w:rsidRPr="00600F68">
        <w:rPr>
          <w:rFonts w:asciiTheme="minorHAnsi" w:hAnsiTheme="minorHAnsi"/>
        </w:rPr>
        <w:t xml:space="preserve">W art. 9 ust. 2 projektu ustawy nie sprecyzowano jakie </w:t>
      </w:r>
      <w:r w:rsidRPr="00600F68">
        <w:rPr>
          <w:rFonts w:asciiTheme="minorHAnsi" w:hAnsiTheme="minorHAnsi"/>
          <w:i/>
        </w:rPr>
        <w:t xml:space="preserve">„wymogi, o których mowa </w:t>
      </w:r>
      <w:r w:rsidRPr="00600F68">
        <w:rPr>
          <w:rFonts w:asciiTheme="minorHAnsi" w:hAnsiTheme="minorHAnsi"/>
          <w:i/>
        </w:rPr>
        <w:br/>
        <w:t>w przepisach o ochronie informacji niejawnych”</w:t>
      </w:r>
      <w:r w:rsidRPr="00600F68">
        <w:rPr>
          <w:rFonts w:asciiTheme="minorHAnsi" w:hAnsiTheme="minorHAnsi"/>
        </w:rPr>
        <w:t xml:space="preserve"> podlegają weryfikacji przez operatora SŁR. Domniemywać jedynie można, że wym</w:t>
      </w:r>
      <w:r w:rsidR="000D24A0">
        <w:rPr>
          <w:rFonts w:asciiTheme="minorHAnsi" w:hAnsiTheme="minorHAnsi"/>
        </w:rPr>
        <w:t>o</w:t>
      </w:r>
      <w:r w:rsidRPr="00600F68">
        <w:rPr>
          <w:rFonts w:asciiTheme="minorHAnsi" w:hAnsiTheme="minorHAnsi"/>
        </w:rPr>
        <w:t>g</w:t>
      </w:r>
      <w:r w:rsidR="000D24A0">
        <w:rPr>
          <w:rFonts w:asciiTheme="minorHAnsi" w:hAnsiTheme="minorHAnsi"/>
        </w:rPr>
        <w:t>i</w:t>
      </w:r>
      <w:r w:rsidRPr="00600F68">
        <w:rPr>
          <w:rFonts w:asciiTheme="minorHAnsi" w:hAnsiTheme="minorHAnsi"/>
        </w:rPr>
        <w:t xml:space="preserve"> te</w:t>
      </w:r>
      <w:r w:rsidR="000D24A0">
        <w:rPr>
          <w:rFonts w:asciiTheme="minorHAnsi" w:hAnsiTheme="minorHAnsi"/>
        </w:rPr>
        <w:t xml:space="preserve"> dotyczą</w:t>
      </w:r>
      <w:r w:rsidRPr="00600F68">
        <w:rPr>
          <w:rFonts w:asciiTheme="minorHAnsi" w:hAnsiTheme="minorHAnsi"/>
        </w:rPr>
        <w:t xml:space="preserve"> posiadania poświadczenia bezpieczeństwa, o którym mowa w art. 29 ust. 1 ustawy z dnia 5 sierpnia 2010 r. </w:t>
      </w:r>
      <w:r w:rsidRPr="00600F68">
        <w:rPr>
          <w:rFonts w:asciiTheme="minorHAnsi" w:hAnsiTheme="minorHAnsi"/>
        </w:rPr>
        <w:br/>
        <w:t>o ochronie informacji niejawnych</w:t>
      </w:r>
      <w:r w:rsidR="000D24A0">
        <w:rPr>
          <w:rFonts w:asciiTheme="minorHAnsi" w:hAnsiTheme="minorHAnsi"/>
        </w:rPr>
        <w:t xml:space="preserve"> (</w:t>
      </w:r>
      <w:r w:rsidRPr="00600F68">
        <w:rPr>
          <w:rFonts w:asciiTheme="minorHAnsi" w:hAnsiTheme="minorHAnsi"/>
        </w:rPr>
        <w:t>zwanej dalej „ustawą OIN”</w:t>
      </w:r>
      <w:r w:rsidR="000D24A0">
        <w:rPr>
          <w:rFonts w:asciiTheme="minorHAnsi" w:hAnsiTheme="minorHAnsi"/>
        </w:rPr>
        <w:t>)</w:t>
      </w:r>
      <w:r w:rsidRPr="00600F68">
        <w:rPr>
          <w:rFonts w:asciiTheme="minorHAnsi" w:hAnsiTheme="minorHAnsi"/>
        </w:rPr>
        <w:t xml:space="preserve"> – w przypadku użytkownika końcowego i świadectwo bezpieczeństwa przemysłowego, o którym mowa w art. 54 ust. 2 ustawy OIN – w przypadku użytkownika instytucjonalnego, którym jest przedsiębiorca. Wobec </w:t>
      </w:r>
      <w:r w:rsidR="000D24A0">
        <w:rPr>
          <w:rFonts w:asciiTheme="minorHAnsi" w:hAnsiTheme="minorHAnsi"/>
        </w:rPr>
        <w:t>powyższego</w:t>
      </w:r>
      <w:r w:rsidRPr="00600F68">
        <w:rPr>
          <w:rFonts w:asciiTheme="minorHAnsi" w:hAnsiTheme="minorHAnsi"/>
        </w:rPr>
        <w:t xml:space="preserve"> przedmiotowy przepis powinien posługiwać się </w:t>
      </w:r>
      <w:r w:rsidR="000D24A0">
        <w:rPr>
          <w:rFonts w:asciiTheme="minorHAnsi" w:hAnsiTheme="minorHAnsi"/>
        </w:rPr>
        <w:t>przytoczonymi pojęciami</w:t>
      </w:r>
      <w:r w:rsidRPr="00600F68">
        <w:rPr>
          <w:rFonts w:asciiTheme="minorHAnsi" w:hAnsiTheme="minorHAnsi"/>
        </w:rPr>
        <w:t>, co zapewni spójność z przepisami ustawy OIN. Ponadto, zauważyć należy, że analiza spełnienia wymagań wynikających z ustawy OIN należy do wskazanych w niej organów, które wydają odpowiednie dokumenty. Operator SŁR powinien badać jedynie</w:t>
      </w:r>
      <w:r w:rsidR="00937A71" w:rsidRPr="00600F68">
        <w:rPr>
          <w:rFonts w:asciiTheme="minorHAnsi" w:hAnsiTheme="minorHAnsi"/>
        </w:rPr>
        <w:t>,</w:t>
      </w:r>
      <w:r w:rsidRPr="00600F68">
        <w:rPr>
          <w:rFonts w:asciiTheme="minorHAnsi" w:hAnsiTheme="minorHAnsi"/>
        </w:rPr>
        <w:t xml:space="preserve"> czy użytkownik posiada odpowiednie poświadczenia w sy</w:t>
      </w:r>
      <w:r w:rsidR="00937A71" w:rsidRPr="00600F68">
        <w:rPr>
          <w:rFonts w:asciiTheme="minorHAnsi" w:hAnsiTheme="minorHAnsi"/>
        </w:rPr>
        <w:t>tuacji</w:t>
      </w:r>
      <w:r w:rsidR="000D24A0">
        <w:rPr>
          <w:rFonts w:asciiTheme="minorHAnsi" w:hAnsiTheme="minorHAnsi"/>
        </w:rPr>
        <w:t>,</w:t>
      </w:r>
      <w:r w:rsidR="00937A71" w:rsidRPr="00600F68">
        <w:rPr>
          <w:rFonts w:asciiTheme="minorHAnsi" w:hAnsiTheme="minorHAnsi"/>
        </w:rPr>
        <w:t xml:space="preserve"> gdy ma korzystać z SŁR w </w:t>
      </w:r>
      <w:r w:rsidRPr="00600F68">
        <w:rPr>
          <w:rFonts w:asciiTheme="minorHAnsi" w:hAnsiTheme="minorHAnsi"/>
        </w:rPr>
        <w:t>zakresie łączności niejawnej.</w:t>
      </w:r>
    </w:p>
    <w:p w:rsidR="00BC2198" w:rsidRPr="00C71B58" w:rsidRDefault="00BC2198" w:rsidP="00295A3E">
      <w:pPr>
        <w:pStyle w:val="Akapitzlist"/>
        <w:numPr>
          <w:ilvl w:val="0"/>
          <w:numId w:val="18"/>
        </w:numPr>
        <w:spacing w:after="120" w:line="23" w:lineRule="atLeast"/>
        <w:jc w:val="both"/>
        <w:rPr>
          <w:rFonts w:asciiTheme="minorHAnsi" w:hAnsiTheme="minorHAnsi"/>
        </w:rPr>
      </w:pPr>
      <w:r w:rsidRPr="00C71B58">
        <w:rPr>
          <w:rFonts w:asciiTheme="minorHAnsi" w:hAnsiTheme="minorHAnsi"/>
        </w:rPr>
        <w:t xml:space="preserve">W projekcie ustawy nie ma co prawda przepisu, który wprost wskazywałby, </w:t>
      </w:r>
      <w:r w:rsidRPr="00C71B58">
        <w:rPr>
          <w:rFonts w:asciiTheme="minorHAnsi" w:hAnsiTheme="minorHAnsi"/>
        </w:rPr>
        <w:br/>
      </w:r>
      <w:r w:rsidR="00937A71" w:rsidRPr="00C71B58">
        <w:rPr>
          <w:rFonts w:asciiTheme="minorHAnsi" w:hAnsiTheme="minorHAnsi"/>
        </w:rPr>
        <w:t>że</w:t>
      </w:r>
      <w:r w:rsidRPr="00C71B58">
        <w:rPr>
          <w:rFonts w:asciiTheme="minorHAnsi" w:hAnsiTheme="minorHAnsi"/>
        </w:rPr>
        <w:t xml:space="preserve"> przedsiębiorca może być użytkownikiem instytucjonalnym, jednakże można </w:t>
      </w:r>
      <w:r w:rsidRPr="00C71B58">
        <w:rPr>
          <w:rFonts w:asciiTheme="minorHAnsi" w:hAnsiTheme="minorHAnsi"/>
        </w:rPr>
        <w:br/>
        <w:t xml:space="preserve">to wywnioskować z art. 7 ust. 2 projektu ustawy, który stwierdza, że </w:t>
      </w:r>
      <w:r w:rsidRPr="00C71B58">
        <w:rPr>
          <w:rFonts w:asciiTheme="minorHAnsi" w:hAnsiTheme="minorHAnsi"/>
          <w:i/>
        </w:rPr>
        <w:t>„ze względu na ważny interes Państwa, w szczególności na konieczność zapewni</w:t>
      </w:r>
      <w:r w:rsidR="004450CE" w:rsidRPr="00C71B58">
        <w:rPr>
          <w:rFonts w:asciiTheme="minorHAnsi" w:hAnsiTheme="minorHAnsi"/>
          <w:i/>
        </w:rPr>
        <w:t>enia ciągłości funkcjonowania i </w:t>
      </w:r>
      <w:r w:rsidRPr="00C71B58">
        <w:rPr>
          <w:rFonts w:asciiTheme="minorHAnsi" w:hAnsiTheme="minorHAnsi"/>
          <w:i/>
        </w:rPr>
        <w:t xml:space="preserve">odtwarzania infrastruktury krytycznej Państwa, zgodę na podłączenie do SŁR albo odłączenie mogą uzyskać użytkownicy instytucjonalni inni niż wskazani </w:t>
      </w:r>
      <w:r w:rsidRPr="00C71B58">
        <w:rPr>
          <w:rFonts w:asciiTheme="minorHAnsi" w:hAnsiTheme="minorHAnsi"/>
          <w:i/>
        </w:rPr>
        <w:br/>
        <w:t>w ust. 1.”</w:t>
      </w:r>
      <w:r w:rsidRPr="00C71B58">
        <w:rPr>
          <w:rFonts w:asciiTheme="minorHAnsi" w:hAnsiTheme="minorHAnsi"/>
        </w:rPr>
        <w:t xml:space="preserve">, a także z treści uzasadnienia do cytowanego przepisu gdzie </w:t>
      </w:r>
      <w:r w:rsidR="000D24A0">
        <w:rPr>
          <w:rFonts w:asciiTheme="minorHAnsi" w:hAnsiTheme="minorHAnsi"/>
        </w:rPr>
        <w:t xml:space="preserve">jest </w:t>
      </w:r>
      <w:r w:rsidRPr="00C71B58">
        <w:rPr>
          <w:rFonts w:asciiTheme="minorHAnsi" w:hAnsiTheme="minorHAnsi"/>
        </w:rPr>
        <w:t xml:space="preserve">mowa o tym, że </w:t>
      </w:r>
      <w:r w:rsidRPr="00C71B58">
        <w:rPr>
          <w:rFonts w:asciiTheme="minorHAnsi" w:hAnsiTheme="minorHAnsi"/>
          <w:i/>
        </w:rPr>
        <w:t xml:space="preserve">„projektowana ustawa określi warunki podłączenia do Sieci Łączności Rządowej innych podmiotów wykonujących zadania na potrzeby administracji rządowej, tj. instytucji </w:t>
      </w:r>
      <w:r w:rsidRPr="00C71B58">
        <w:rPr>
          <w:rFonts w:asciiTheme="minorHAnsi" w:hAnsiTheme="minorHAnsi"/>
          <w:i/>
        </w:rPr>
        <w:br/>
        <w:t>i przedsiębiorców”</w:t>
      </w:r>
      <w:r w:rsidRPr="00C71B58">
        <w:rPr>
          <w:rFonts w:asciiTheme="minorHAnsi" w:hAnsiTheme="minorHAnsi"/>
        </w:rPr>
        <w:t xml:space="preserve">. Jeżeli zatem przedsiębiorcy mają być użytkownikami instytucjonalnymi, to w art. 9 ust. 4 pkt 3 projektu po </w:t>
      </w:r>
      <w:r w:rsidR="000D24A0">
        <w:rPr>
          <w:rFonts w:asciiTheme="minorHAnsi" w:hAnsiTheme="minorHAnsi"/>
        </w:rPr>
        <w:t>wyrazach</w:t>
      </w:r>
      <w:r w:rsidRPr="00C71B58">
        <w:rPr>
          <w:rFonts w:asciiTheme="minorHAnsi" w:hAnsiTheme="minorHAnsi"/>
        </w:rPr>
        <w:t xml:space="preserve"> </w:t>
      </w:r>
      <w:r w:rsidRPr="00C71B58">
        <w:rPr>
          <w:rFonts w:asciiTheme="minorHAnsi" w:hAnsiTheme="minorHAnsi"/>
          <w:i/>
        </w:rPr>
        <w:t>„świadectwo akredytacji bezpieczeństwa systemu teleinformatycznego”</w:t>
      </w:r>
      <w:r w:rsidRPr="00C71B58">
        <w:rPr>
          <w:rFonts w:asciiTheme="minorHAnsi" w:hAnsiTheme="minorHAnsi"/>
        </w:rPr>
        <w:t xml:space="preserve"> dodać należy </w:t>
      </w:r>
      <w:r w:rsidR="000D24A0">
        <w:rPr>
          <w:rFonts w:asciiTheme="minorHAnsi" w:hAnsiTheme="minorHAnsi"/>
        </w:rPr>
        <w:t xml:space="preserve">wyrazy </w:t>
      </w:r>
      <w:r w:rsidRPr="00C71B58">
        <w:rPr>
          <w:rFonts w:asciiTheme="minorHAnsi" w:hAnsiTheme="minorHAnsi"/>
          <w:i/>
        </w:rPr>
        <w:t>„lub któremu zostało cofnięte świadectwo bezpieczeństwa przemysłowego, o którym mowa w art. 54 ust. 2 ustawy z dnia 5 sierpnia 2010 r. o ochronie informacji niejawnych”</w:t>
      </w:r>
      <w:r w:rsidRPr="00C71B58">
        <w:rPr>
          <w:rFonts w:asciiTheme="minorHAnsi" w:hAnsiTheme="minorHAnsi"/>
        </w:rPr>
        <w:t xml:space="preserve">. Analogicznej zmiany należy dokonać w art. 10 projektu i po </w:t>
      </w:r>
      <w:r w:rsidR="000D24A0">
        <w:rPr>
          <w:rFonts w:asciiTheme="minorHAnsi" w:hAnsiTheme="minorHAnsi"/>
        </w:rPr>
        <w:t>wyrazach</w:t>
      </w:r>
      <w:r w:rsidRPr="00C71B58">
        <w:rPr>
          <w:rFonts w:asciiTheme="minorHAnsi" w:hAnsiTheme="minorHAnsi"/>
        </w:rPr>
        <w:t xml:space="preserve"> </w:t>
      </w:r>
      <w:r w:rsidRPr="00C71B58">
        <w:rPr>
          <w:rFonts w:asciiTheme="minorHAnsi" w:hAnsiTheme="minorHAnsi"/>
          <w:i/>
        </w:rPr>
        <w:t>„akredytacji bezpieczeństwa systemu teleinformatycznego”</w:t>
      </w:r>
      <w:r w:rsidRPr="00C71B58">
        <w:rPr>
          <w:rFonts w:asciiTheme="minorHAnsi" w:hAnsiTheme="minorHAnsi"/>
        </w:rPr>
        <w:t xml:space="preserve"> dodać </w:t>
      </w:r>
      <w:r w:rsidR="000D24A0">
        <w:rPr>
          <w:rFonts w:asciiTheme="minorHAnsi" w:hAnsiTheme="minorHAnsi"/>
        </w:rPr>
        <w:t xml:space="preserve">wyrazy </w:t>
      </w:r>
      <w:r w:rsidRPr="00C71B58">
        <w:rPr>
          <w:rFonts w:asciiTheme="minorHAnsi" w:hAnsiTheme="minorHAnsi"/>
          <w:i/>
        </w:rPr>
        <w:t>„lub zostało cofnięte mu świadectwo bezpieczeństwa przemysłowego, o którym mowa w art. 54 ust. 2 ustawy</w:t>
      </w:r>
      <w:r w:rsidR="00C71B58">
        <w:rPr>
          <w:rFonts w:asciiTheme="minorHAnsi" w:hAnsiTheme="minorHAnsi"/>
          <w:i/>
        </w:rPr>
        <w:t xml:space="preserve"> </w:t>
      </w:r>
      <w:r w:rsidRPr="00C71B58">
        <w:rPr>
          <w:rFonts w:asciiTheme="minorHAnsi" w:hAnsiTheme="minorHAnsi"/>
          <w:i/>
        </w:rPr>
        <w:t>z dnia 5 sierpnia 2010 r. o ochronie informacji niejawnych”</w:t>
      </w:r>
      <w:r w:rsidRPr="00C71B58">
        <w:rPr>
          <w:rFonts w:asciiTheme="minorHAnsi" w:hAnsiTheme="minorHAnsi"/>
        </w:rPr>
        <w:t>.</w:t>
      </w:r>
    </w:p>
    <w:p w:rsidR="00BC2198" w:rsidRPr="00C71B58" w:rsidRDefault="00BC2198" w:rsidP="002F32C5">
      <w:pPr>
        <w:pStyle w:val="Akapitzlist"/>
        <w:numPr>
          <w:ilvl w:val="0"/>
          <w:numId w:val="18"/>
        </w:numPr>
        <w:spacing w:after="120" w:line="23" w:lineRule="atLeast"/>
        <w:jc w:val="both"/>
        <w:rPr>
          <w:rFonts w:asciiTheme="minorHAnsi" w:hAnsiTheme="minorHAnsi"/>
        </w:rPr>
      </w:pPr>
      <w:r w:rsidRPr="00C71B58">
        <w:rPr>
          <w:rFonts w:asciiTheme="minorHAnsi" w:hAnsiTheme="minorHAnsi"/>
        </w:rPr>
        <w:lastRenderedPageBreak/>
        <w:t xml:space="preserve">Odnosząc się do kwestii ochrony informacji niejawnych warto również wskazać, </w:t>
      </w:r>
      <w:r w:rsidR="003B76E1" w:rsidRPr="00C71B58">
        <w:rPr>
          <w:rFonts w:asciiTheme="minorHAnsi" w:hAnsiTheme="minorHAnsi"/>
        </w:rPr>
        <w:t>że</w:t>
      </w:r>
      <w:r w:rsidRPr="00C71B58">
        <w:rPr>
          <w:rFonts w:asciiTheme="minorHAnsi" w:hAnsiTheme="minorHAnsi"/>
        </w:rPr>
        <w:br/>
        <w:t>w celu wyeliminowania wątpliwości interpretacyjnych zasadn</w:t>
      </w:r>
      <w:r w:rsidR="000D24A0">
        <w:rPr>
          <w:rFonts w:asciiTheme="minorHAnsi" w:hAnsiTheme="minorHAnsi"/>
        </w:rPr>
        <w:t>e</w:t>
      </w:r>
      <w:r w:rsidRPr="00C71B58">
        <w:rPr>
          <w:rFonts w:asciiTheme="minorHAnsi" w:hAnsiTheme="minorHAnsi"/>
        </w:rPr>
        <w:t xml:space="preserve"> </w:t>
      </w:r>
      <w:r w:rsidR="000D24A0">
        <w:rPr>
          <w:rFonts w:asciiTheme="minorHAnsi" w:hAnsiTheme="minorHAnsi"/>
        </w:rPr>
        <w:t xml:space="preserve">jest </w:t>
      </w:r>
      <w:r w:rsidRPr="00C71B58">
        <w:rPr>
          <w:rFonts w:asciiTheme="minorHAnsi" w:hAnsiTheme="minorHAnsi"/>
        </w:rPr>
        <w:t>wprowadzenie zmian w art. 9 ust. 2 i ust. 4 pkt 3 projektu regulujących tryb podłączania użytkowników instytucjonalnych SŁR lub użytkowników końcowych SŁR poprzez rozdzielenie trybu oraz warunków przyłączenia użytkowników SŁR</w:t>
      </w:r>
      <w:r w:rsidR="003B76E1" w:rsidRPr="00C71B58">
        <w:rPr>
          <w:rFonts w:asciiTheme="minorHAnsi" w:hAnsiTheme="minorHAnsi"/>
        </w:rPr>
        <w:t xml:space="preserve"> </w:t>
      </w:r>
      <w:r w:rsidRPr="00C71B58">
        <w:rPr>
          <w:rFonts w:asciiTheme="minorHAnsi" w:hAnsiTheme="minorHAnsi"/>
        </w:rPr>
        <w:t>- w zależności od tego</w:t>
      </w:r>
      <w:r w:rsidR="000D24A0">
        <w:rPr>
          <w:rFonts w:asciiTheme="minorHAnsi" w:hAnsiTheme="minorHAnsi"/>
        </w:rPr>
        <w:t>,</w:t>
      </w:r>
      <w:r w:rsidRPr="00C71B58">
        <w:rPr>
          <w:rFonts w:asciiTheme="minorHAnsi" w:hAnsiTheme="minorHAnsi"/>
        </w:rPr>
        <w:t xml:space="preserve"> czy mają być przyłączani do systemów jawnych bądź niejawnych. W przypadku, gdy w SŁR będą przetwarzane wyłącznie informacje jawne, nie ma potrzeby spełnienia wymogów, wynikających z przepisów ustawy </w:t>
      </w:r>
      <w:r w:rsidR="007E1853">
        <w:rPr>
          <w:rFonts w:asciiTheme="minorHAnsi" w:hAnsiTheme="minorHAnsi"/>
        </w:rPr>
        <w:t>OIN</w:t>
      </w:r>
      <w:r w:rsidRPr="00C71B58">
        <w:rPr>
          <w:rFonts w:asciiTheme="minorHAnsi" w:hAnsiTheme="minorHAnsi"/>
        </w:rPr>
        <w:t>.</w:t>
      </w:r>
      <w:r w:rsidR="00C71B58">
        <w:rPr>
          <w:rFonts w:asciiTheme="minorHAnsi" w:hAnsiTheme="minorHAnsi"/>
        </w:rPr>
        <w:t xml:space="preserve"> </w:t>
      </w:r>
      <w:r w:rsidRPr="00C71B58">
        <w:rPr>
          <w:rFonts w:asciiTheme="minorHAnsi" w:hAnsiTheme="minorHAnsi"/>
        </w:rPr>
        <w:t>Art. 9 ust. 2 projektu zawiera odesłanie do wymogów, o których mowa w art. 8 ust. 2 i 3, przy czym przepisy te nie określają wymogów, a jedynie wskazują funkcje oraz zadania, których sprawowanie bądź wykonywanie pozwala na zaliczenie takich osób do grona użytkowników końcowych SŁR. Dlatego też, proponuj</w:t>
      </w:r>
      <w:r w:rsidR="003B76E1" w:rsidRPr="00C71B58">
        <w:rPr>
          <w:rFonts w:asciiTheme="minorHAnsi" w:hAnsiTheme="minorHAnsi"/>
        </w:rPr>
        <w:t>ę</w:t>
      </w:r>
      <w:r w:rsidRPr="00C71B58">
        <w:rPr>
          <w:rFonts w:asciiTheme="minorHAnsi" w:hAnsiTheme="minorHAnsi"/>
        </w:rPr>
        <w:t xml:space="preserve"> w art. 9 ust. 2 projektu ustawy z</w:t>
      </w:r>
      <w:r w:rsidR="003B76E1" w:rsidRPr="00C71B58">
        <w:rPr>
          <w:rFonts w:asciiTheme="minorHAnsi" w:hAnsiTheme="minorHAnsi"/>
        </w:rPr>
        <w:t>astąpić</w:t>
      </w:r>
      <w:r w:rsidRPr="00C71B58">
        <w:rPr>
          <w:rFonts w:asciiTheme="minorHAnsi" w:hAnsiTheme="minorHAnsi"/>
        </w:rPr>
        <w:t xml:space="preserve"> wyrażenie </w:t>
      </w:r>
      <w:r w:rsidR="003B76E1" w:rsidRPr="00C71B58">
        <w:rPr>
          <w:rFonts w:asciiTheme="minorHAnsi" w:hAnsiTheme="minorHAnsi"/>
          <w:i/>
        </w:rPr>
        <w:t>„w </w:t>
      </w:r>
      <w:r w:rsidRPr="00C71B58">
        <w:rPr>
          <w:rFonts w:asciiTheme="minorHAnsi" w:hAnsiTheme="minorHAnsi"/>
          <w:i/>
        </w:rPr>
        <w:t>zakresie wymogów”</w:t>
      </w:r>
      <w:r w:rsidRPr="00C71B58">
        <w:rPr>
          <w:rFonts w:asciiTheme="minorHAnsi" w:hAnsiTheme="minorHAnsi"/>
        </w:rPr>
        <w:t xml:space="preserve"> wyrażeniem </w:t>
      </w:r>
      <w:r w:rsidRPr="00C71B58">
        <w:rPr>
          <w:rFonts w:asciiTheme="minorHAnsi" w:hAnsiTheme="minorHAnsi"/>
          <w:i/>
        </w:rPr>
        <w:t>„w zakresie realizacji funkcji i zadań”</w:t>
      </w:r>
      <w:r w:rsidRPr="00C71B58">
        <w:rPr>
          <w:rFonts w:asciiTheme="minorHAnsi" w:hAnsiTheme="minorHAnsi"/>
        </w:rPr>
        <w:t>.</w:t>
      </w:r>
    </w:p>
    <w:p w:rsidR="00BC2198" w:rsidRPr="00600F68" w:rsidRDefault="000D24A0" w:rsidP="00600F68">
      <w:pPr>
        <w:pStyle w:val="Akapitzlist"/>
        <w:numPr>
          <w:ilvl w:val="0"/>
          <w:numId w:val="18"/>
        </w:numPr>
        <w:spacing w:after="120" w:line="23" w:lineRule="atLeast"/>
        <w:jc w:val="both"/>
        <w:rPr>
          <w:rFonts w:asciiTheme="minorHAnsi" w:hAnsiTheme="minorHAnsi"/>
        </w:rPr>
      </w:pPr>
      <w:r>
        <w:rPr>
          <w:rFonts w:asciiTheme="minorHAnsi" w:hAnsiTheme="minorHAnsi"/>
        </w:rPr>
        <w:t>Z</w:t>
      </w:r>
      <w:r w:rsidR="00BC2198" w:rsidRPr="00600F68">
        <w:rPr>
          <w:rFonts w:asciiTheme="minorHAnsi" w:hAnsiTheme="minorHAnsi"/>
        </w:rPr>
        <w:t>asadn</w:t>
      </w:r>
      <w:r>
        <w:rPr>
          <w:rFonts w:asciiTheme="minorHAnsi" w:hAnsiTheme="minorHAnsi"/>
        </w:rPr>
        <w:t>e</w:t>
      </w:r>
      <w:r w:rsidR="00BC2198" w:rsidRPr="00600F68">
        <w:rPr>
          <w:rFonts w:asciiTheme="minorHAnsi" w:hAnsiTheme="minorHAnsi"/>
        </w:rPr>
        <w:t xml:space="preserve"> jest doprecyzowanie art. 13 projektu ustawy zawierającego delegację ustawową do wydania przez ministra właściwego do spraw wewnętrznych rozporządzenia</w:t>
      </w:r>
      <w:r w:rsidR="003713D9" w:rsidRPr="00600F68">
        <w:rPr>
          <w:rFonts w:asciiTheme="minorHAnsi" w:hAnsiTheme="minorHAnsi"/>
        </w:rPr>
        <w:t>,</w:t>
      </w:r>
      <w:r w:rsidR="00BC2198" w:rsidRPr="00600F68">
        <w:rPr>
          <w:rFonts w:asciiTheme="minorHAnsi" w:hAnsiTheme="minorHAnsi"/>
        </w:rPr>
        <w:t xml:space="preserve"> określającego m. in. wzory wniosków o przyłączenie użytkownika do SŁR</w:t>
      </w:r>
      <w:r w:rsidR="003713D9" w:rsidRPr="00600F68">
        <w:rPr>
          <w:rFonts w:asciiTheme="minorHAnsi" w:hAnsiTheme="minorHAnsi"/>
        </w:rPr>
        <w:t>, poprzez wskazanie w </w:t>
      </w:r>
      <w:r w:rsidR="00BC2198" w:rsidRPr="00600F68">
        <w:rPr>
          <w:rFonts w:asciiTheme="minorHAnsi" w:hAnsiTheme="minorHAnsi"/>
        </w:rPr>
        <w:t>wytycznych do wydania tego rozporządzenia</w:t>
      </w:r>
      <w:r w:rsidR="003713D9" w:rsidRPr="00600F68">
        <w:rPr>
          <w:rFonts w:asciiTheme="minorHAnsi" w:hAnsiTheme="minorHAnsi"/>
        </w:rPr>
        <w:t>, że w ww. wzorce obejmują informację o posiadaniu przez podmiot</w:t>
      </w:r>
      <w:r w:rsidR="00BC2198" w:rsidRPr="00600F68">
        <w:rPr>
          <w:rFonts w:asciiTheme="minorHAnsi" w:hAnsiTheme="minorHAnsi"/>
        </w:rPr>
        <w:t xml:space="preserve"> odpowiedniego poświadczenia, o którym</w:t>
      </w:r>
      <w:r w:rsidR="003713D9" w:rsidRPr="00600F68">
        <w:rPr>
          <w:rFonts w:asciiTheme="minorHAnsi" w:hAnsiTheme="minorHAnsi"/>
        </w:rPr>
        <w:t xml:space="preserve"> mowa w przepisach o </w:t>
      </w:r>
      <w:r w:rsidR="00BC2198" w:rsidRPr="00600F68">
        <w:rPr>
          <w:rFonts w:asciiTheme="minorHAnsi" w:hAnsiTheme="minorHAnsi"/>
        </w:rPr>
        <w:t>ochronie informacji niejawnych.</w:t>
      </w:r>
    </w:p>
    <w:p w:rsidR="00B96E0B" w:rsidRPr="00600F68" w:rsidRDefault="00C71B58" w:rsidP="00600F68">
      <w:pPr>
        <w:pStyle w:val="Akapitzlist"/>
        <w:numPr>
          <w:ilvl w:val="0"/>
          <w:numId w:val="18"/>
        </w:numPr>
        <w:spacing w:after="120" w:line="23" w:lineRule="atLeast"/>
        <w:jc w:val="both"/>
        <w:rPr>
          <w:rFonts w:asciiTheme="minorHAnsi" w:hAnsiTheme="minorHAnsi"/>
        </w:rPr>
      </w:pPr>
      <w:r>
        <w:rPr>
          <w:rFonts w:asciiTheme="minorHAnsi" w:hAnsiTheme="minorHAnsi"/>
        </w:rPr>
        <w:t>W</w:t>
      </w:r>
      <w:r w:rsidR="00B96E0B" w:rsidRPr="00600F68">
        <w:rPr>
          <w:rFonts w:asciiTheme="minorHAnsi" w:hAnsiTheme="minorHAnsi"/>
        </w:rPr>
        <w:t xml:space="preserve"> art. 16 ust. 4 w pkt 4 projektu ustawy należy zmienić zawarte w tym przepisi</w:t>
      </w:r>
      <w:r w:rsidR="000D24A0">
        <w:rPr>
          <w:rFonts w:asciiTheme="minorHAnsi" w:hAnsiTheme="minorHAnsi"/>
        </w:rPr>
        <w:t>e odesłanie do art. 14 ust. 3; p</w:t>
      </w:r>
      <w:r w:rsidR="00B96E0B" w:rsidRPr="00600F68">
        <w:rPr>
          <w:rFonts w:asciiTheme="minorHAnsi" w:hAnsiTheme="minorHAnsi"/>
        </w:rPr>
        <w:t>rawdopodobnie przepis ten powinien odsyłać do art. 14 ust. 4 projektu ustawy</w:t>
      </w:r>
      <w:r w:rsidR="000D24A0">
        <w:rPr>
          <w:rFonts w:asciiTheme="minorHAnsi" w:hAnsiTheme="minorHAnsi"/>
        </w:rPr>
        <w:t xml:space="preserve"> – uwaga legislacyjna</w:t>
      </w:r>
      <w:r w:rsidR="00B96E0B" w:rsidRPr="00600F68">
        <w:rPr>
          <w:rFonts w:asciiTheme="minorHAnsi" w:hAnsiTheme="minorHAnsi"/>
        </w:rPr>
        <w:t>.</w:t>
      </w:r>
    </w:p>
    <w:p w:rsidR="00BC2198" w:rsidRPr="00600F68" w:rsidRDefault="00BC2198" w:rsidP="00600F68">
      <w:pPr>
        <w:pStyle w:val="Akapitzlist"/>
        <w:numPr>
          <w:ilvl w:val="0"/>
          <w:numId w:val="18"/>
        </w:numPr>
        <w:spacing w:after="120" w:line="23" w:lineRule="atLeast"/>
        <w:jc w:val="both"/>
        <w:rPr>
          <w:rFonts w:asciiTheme="minorHAnsi" w:hAnsiTheme="minorHAnsi"/>
        </w:rPr>
      </w:pPr>
      <w:r w:rsidRPr="00600F68">
        <w:rPr>
          <w:rFonts w:asciiTheme="minorHAnsi" w:hAnsiTheme="minorHAnsi"/>
        </w:rPr>
        <w:t>Z art. 21 projektu należy usunąć ust. 3, jako inger</w:t>
      </w:r>
      <w:r w:rsidR="004450CE" w:rsidRPr="00600F68">
        <w:rPr>
          <w:rFonts w:asciiTheme="minorHAnsi" w:hAnsiTheme="minorHAnsi"/>
        </w:rPr>
        <w:t>ujący w sposób nieuzasadniony w </w:t>
      </w:r>
      <w:r w:rsidRPr="00600F68">
        <w:rPr>
          <w:rFonts w:asciiTheme="minorHAnsi" w:hAnsiTheme="minorHAnsi"/>
        </w:rPr>
        <w:t xml:space="preserve">przepisy ustawy </w:t>
      </w:r>
      <w:r w:rsidR="007E1853" w:rsidRPr="007E1853">
        <w:rPr>
          <w:rFonts w:asciiTheme="minorHAnsi" w:hAnsiTheme="minorHAnsi"/>
        </w:rPr>
        <w:t>OIN</w:t>
      </w:r>
      <w:r w:rsidRPr="00600F68">
        <w:rPr>
          <w:rFonts w:asciiTheme="minorHAnsi" w:hAnsiTheme="minorHAnsi"/>
        </w:rPr>
        <w:t>. Obowiązek przestrzegania zasad ochrony informacji niejawnych, w tym weryfikacja terminów dopuszczenia systemów teleinformatycznych do ich przetwarzania oraz terminów ważności certyfikatów wydanych dla urządzeń i narzędzi służących do ochrony informacji niejawnych, są każdorazowo obowiązkiem kierownika jednostki, która organizuje dany system. W związku z powyższym wprowadzenie obowiązku przypominania przez Szefa ABW o zbliżających się terminach ważności akredytacji oraz wydanych certyfikatów wydaje się naruszać postanowienia właściwej ustawy, która zaw</w:t>
      </w:r>
      <w:r w:rsidR="003F56AC" w:rsidRPr="00600F68">
        <w:rPr>
          <w:rFonts w:asciiTheme="minorHAnsi" w:hAnsiTheme="minorHAnsi"/>
        </w:rPr>
        <w:t xml:space="preserve">iera już odpowiednie regulacje </w:t>
      </w:r>
      <w:r w:rsidRPr="00600F68">
        <w:rPr>
          <w:rFonts w:asciiTheme="minorHAnsi" w:hAnsiTheme="minorHAnsi"/>
        </w:rPr>
        <w:t>w tej kwestii.</w:t>
      </w:r>
    </w:p>
    <w:p w:rsidR="00BC2198" w:rsidRPr="00600F68" w:rsidRDefault="007C2B60" w:rsidP="00600F68">
      <w:pPr>
        <w:pStyle w:val="Akapitzlist"/>
        <w:numPr>
          <w:ilvl w:val="0"/>
          <w:numId w:val="18"/>
        </w:numPr>
        <w:spacing w:after="120" w:line="23" w:lineRule="atLeast"/>
        <w:jc w:val="both"/>
        <w:rPr>
          <w:rFonts w:asciiTheme="minorHAnsi" w:hAnsiTheme="minorHAnsi"/>
        </w:rPr>
      </w:pPr>
      <w:r w:rsidRPr="00600F68">
        <w:rPr>
          <w:rFonts w:asciiTheme="minorHAnsi" w:hAnsiTheme="minorHAnsi"/>
        </w:rPr>
        <w:t xml:space="preserve">Konieczne jest także przeformułowanie art. 22 </w:t>
      </w:r>
      <w:r w:rsidR="007E1853">
        <w:rPr>
          <w:rFonts w:asciiTheme="minorHAnsi" w:hAnsiTheme="minorHAnsi"/>
        </w:rPr>
        <w:t xml:space="preserve">projektu zawierającego </w:t>
      </w:r>
      <w:r w:rsidRPr="00600F68">
        <w:rPr>
          <w:rFonts w:asciiTheme="minorHAnsi" w:hAnsiTheme="minorHAnsi"/>
        </w:rPr>
        <w:t>obowiązek organizatorów SŁR oraz Szefa ABW przedstawiania sprawozdania dotyczącego funkcjonowania systemu w poprzednim roku kalendarzowym. Zgodnie z ust. 2 pkt 1  sprawozdanie to zawiera informacje o poniesionych wydatkach. Wydaje się, że sprawozdanie Szefa ABW powinno być pozbawione tego element</w:t>
      </w:r>
      <w:r w:rsidR="007E1853">
        <w:rPr>
          <w:rFonts w:asciiTheme="minorHAnsi" w:hAnsiTheme="minorHAnsi"/>
        </w:rPr>
        <w:t>u</w:t>
      </w:r>
      <w:r w:rsidRPr="00600F68">
        <w:rPr>
          <w:rFonts w:asciiTheme="minorHAnsi" w:hAnsiTheme="minorHAnsi"/>
        </w:rPr>
        <w:t xml:space="preserve">, gdyż informacje na temat poziomu wydatków oraz źródeł finansowania mogą wpływać negatywnie na poziom bezpieczeństwa infrastruktury systemu mobilnego, ujawniając określone dane na temat </w:t>
      </w:r>
      <w:r w:rsidR="007E1853">
        <w:rPr>
          <w:rFonts w:asciiTheme="minorHAnsi" w:hAnsiTheme="minorHAnsi"/>
        </w:rPr>
        <w:t>po</w:t>
      </w:r>
      <w:r w:rsidRPr="00600F68">
        <w:rPr>
          <w:rFonts w:asciiTheme="minorHAnsi" w:hAnsiTheme="minorHAnsi"/>
        </w:rPr>
        <w:t xml:space="preserve">czynionych inwestycji oraz potencjalnie umożliwiając identyfikację stosowanych technologii. </w:t>
      </w:r>
    </w:p>
    <w:p w:rsidR="00BC2198" w:rsidRPr="00BC2198" w:rsidRDefault="00BC2198" w:rsidP="00BC2198">
      <w:pPr>
        <w:spacing w:after="120" w:line="23" w:lineRule="atLeast"/>
        <w:jc w:val="both"/>
        <w:rPr>
          <w:rFonts w:asciiTheme="minorHAnsi" w:hAnsiTheme="minorHAnsi"/>
          <w:b/>
        </w:rPr>
      </w:pPr>
      <w:r w:rsidRPr="00BC2198">
        <w:rPr>
          <w:rFonts w:asciiTheme="minorHAnsi" w:hAnsiTheme="minorHAnsi"/>
          <w:b/>
        </w:rPr>
        <w:t xml:space="preserve">III. </w:t>
      </w:r>
      <w:r w:rsidR="00600F68">
        <w:rPr>
          <w:rFonts w:asciiTheme="minorHAnsi" w:hAnsiTheme="minorHAnsi"/>
          <w:b/>
        </w:rPr>
        <w:t>Wstępna o</w:t>
      </w:r>
      <w:r w:rsidR="00B96E0B">
        <w:rPr>
          <w:rFonts w:asciiTheme="minorHAnsi" w:hAnsiTheme="minorHAnsi"/>
          <w:b/>
        </w:rPr>
        <w:t>cena skutków finansowych</w:t>
      </w:r>
      <w:r w:rsidRPr="00BC2198">
        <w:rPr>
          <w:rFonts w:asciiTheme="minorHAnsi" w:hAnsiTheme="minorHAnsi"/>
          <w:b/>
        </w:rPr>
        <w:t xml:space="preserve"> regulacji dotyczących </w:t>
      </w:r>
      <w:r w:rsidR="007E1853">
        <w:rPr>
          <w:rFonts w:asciiTheme="minorHAnsi" w:hAnsiTheme="minorHAnsi"/>
          <w:b/>
        </w:rPr>
        <w:t xml:space="preserve">wdrożenia </w:t>
      </w:r>
      <w:r w:rsidRPr="00BC2198">
        <w:rPr>
          <w:rFonts w:asciiTheme="minorHAnsi" w:hAnsiTheme="minorHAnsi"/>
          <w:b/>
        </w:rPr>
        <w:t>systemu łączności mobilnej</w:t>
      </w:r>
    </w:p>
    <w:p w:rsidR="00BC2198" w:rsidRPr="00BC2198" w:rsidRDefault="00BC2198" w:rsidP="00B269FD">
      <w:pPr>
        <w:spacing w:after="120" w:line="23" w:lineRule="atLeast"/>
        <w:ind w:firstLine="708"/>
        <w:jc w:val="both"/>
        <w:rPr>
          <w:rFonts w:asciiTheme="minorHAnsi" w:hAnsiTheme="minorHAnsi"/>
        </w:rPr>
      </w:pPr>
      <w:r w:rsidRPr="00BC2198">
        <w:rPr>
          <w:rFonts w:asciiTheme="minorHAnsi" w:hAnsiTheme="minorHAnsi"/>
        </w:rPr>
        <w:t>W uzupełnieniu</w:t>
      </w:r>
      <w:r w:rsidR="00B96E0B">
        <w:rPr>
          <w:rFonts w:asciiTheme="minorHAnsi" w:hAnsiTheme="minorHAnsi"/>
        </w:rPr>
        <w:t xml:space="preserve"> powyższych uwag, w związku z przewidzianym w projekcie zaangażowaniem ABW w zarządzanie systemem </w:t>
      </w:r>
      <w:r w:rsidR="00B96E0B" w:rsidRPr="00B96E0B">
        <w:rPr>
          <w:rFonts w:asciiTheme="minorHAnsi" w:hAnsiTheme="minorHAnsi"/>
        </w:rPr>
        <w:t>łączności mobilnej</w:t>
      </w:r>
      <w:r w:rsidR="007E1853">
        <w:rPr>
          <w:rFonts w:asciiTheme="minorHAnsi" w:hAnsiTheme="minorHAnsi"/>
        </w:rPr>
        <w:t>,</w:t>
      </w:r>
      <w:r w:rsidR="00B96E0B">
        <w:rPr>
          <w:rFonts w:asciiTheme="minorHAnsi" w:hAnsiTheme="minorHAnsi"/>
        </w:rPr>
        <w:t xml:space="preserve"> przedstawiam</w:t>
      </w:r>
      <w:r w:rsidRPr="00BC2198">
        <w:rPr>
          <w:rFonts w:asciiTheme="minorHAnsi" w:hAnsiTheme="minorHAnsi"/>
        </w:rPr>
        <w:t xml:space="preserve"> szacunkowe koszty wdrożenia opisywanego systemu mobilnego w </w:t>
      </w:r>
      <w:r w:rsidR="00600F68">
        <w:rPr>
          <w:rFonts w:asciiTheme="minorHAnsi" w:hAnsiTheme="minorHAnsi"/>
        </w:rPr>
        <w:t>trzech przedziałach wielkości systemu</w:t>
      </w:r>
      <w:r w:rsidRPr="00BC2198">
        <w:rPr>
          <w:rFonts w:asciiTheme="minorHAnsi" w:hAnsiTheme="minorHAnsi"/>
        </w:rPr>
        <w:t>:</w:t>
      </w:r>
    </w:p>
    <w:p w:rsidR="00BC2198" w:rsidRPr="00BC2198" w:rsidRDefault="00BC2198" w:rsidP="00C71B58">
      <w:pPr>
        <w:numPr>
          <w:ilvl w:val="1"/>
          <w:numId w:val="11"/>
        </w:numPr>
        <w:spacing w:line="23" w:lineRule="atLeast"/>
        <w:jc w:val="both"/>
        <w:rPr>
          <w:rFonts w:asciiTheme="minorHAnsi" w:hAnsiTheme="minorHAnsi"/>
          <w:b/>
        </w:rPr>
      </w:pPr>
      <w:r w:rsidRPr="00BC2198">
        <w:rPr>
          <w:rFonts w:asciiTheme="minorHAnsi" w:hAnsiTheme="minorHAnsi"/>
          <w:b/>
        </w:rPr>
        <w:t>w przypadku budowy systemu dla ok.  500 użytkowników - ok. 3, 7 mln zł.:</w:t>
      </w:r>
    </w:p>
    <w:p w:rsidR="00BC2198" w:rsidRPr="00BC2198" w:rsidRDefault="00BC2198" w:rsidP="00C71B58">
      <w:pPr>
        <w:numPr>
          <w:ilvl w:val="0"/>
          <w:numId w:val="12"/>
        </w:numPr>
        <w:spacing w:line="23" w:lineRule="atLeast"/>
        <w:jc w:val="both"/>
        <w:rPr>
          <w:rFonts w:asciiTheme="minorHAnsi" w:hAnsiTheme="minorHAnsi"/>
        </w:rPr>
      </w:pPr>
      <w:r w:rsidRPr="00BC2198">
        <w:rPr>
          <w:rFonts w:asciiTheme="minorHAnsi" w:hAnsiTheme="minorHAnsi"/>
          <w:bCs/>
        </w:rPr>
        <w:t>ok. 2 mln zł. -</w:t>
      </w:r>
      <w:r w:rsidRPr="00BC2198">
        <w:rPr>
          <w:rFonts w:asciiTheme="minorHAnsi" w:hAnsiTheme="minorHAnsi"/>
        </w:rPr>
        <w:t xml:space="preserve"> infrastruktura sprzętowa (serwery domenowe, pocztowe, VPN, backup, firewall, VOIP itp.),</w:t>
      </w:r>
    </w:p>
    <w:p w:rsidR="00BC2198" w:rsidRPr="00BC2198" w:rsidRDefault="00BC2198" w:rsidP="00C71B58">
      <w:pPr>
        <w:numPr>
          <w:ilvl w:val="0"/>
          <w:numId w:val="12"/>
        </w:numPr>
        <w:spacing w:line="23" w:lineRule="atLeast"/>
        <w:jc w:val="both"/>
        <w:rPr>
          <w:rFonts w:asciiTheme="minorHAnsi" w:hAnsiTheme="minorHAnsi"/>
        </w:rPr>
      </w:pPr>
      <w:r w:rsidRPr="00BC2198">
        <w:rPr>
          <w:rFonts w:asciiTheme="minorHAnsi" w:hAnsiTheme="minorHAnsi"/>
          <w:bCs/>
        </w:rPr>
        <w:lastRenderedPageBreak/>
        <w:t>ok. 350 tys. zł. -</w:t>
      </w:r>
      <w:r w:rsidRPr="00BC2198">
        <w:rPr>
          <w:rFonts w:asciiTheme="minorHAnsi" w:hAnsiTheme="minorHAnsi"/>
        </w:rPr>
        <w:t xml:space="preserve">  licencje, </w:t>
      </w:r>
      <w:proofErr w:type="spellStart"/>
      <w:r w:rsidRPr="00BC2198">
        <w:rPr>
          <w:rFonts w:asciiTheme="minorHAnsi" w:hAnsiTheme="minorHAnsi"/>
        </w:rPr>
        <w:t>tokeny</w:t>
      </w:r>
      <w:proofErr w:type="spellEnd"/>
      <w:r w:rsidRPr="00BC2198">
        <w:rPr>
          <w:rFonts w:asciiTheme="minorHAnsi" w:hAnsiTheme="minorHAnsi"/>
        </w:rPr>
        <w:t xml:space="preserve">, </w:t>
      </w:r>
    </w:p>
    <w:p w:rsidR="00BC2198" w:rsidRPr="00BC2198" w:rsidRDefault="00BC2198" w:rsidP="00C71B58">
      <w:pPr>
        <w:numPr>
          <w:ilvl w:val="0"/>
          <w:numId w:val="12"/>
        </w:numPr>
        <w:spacing w:line="23" w:lineRule="atLeast"/>
        <w:jc w:val="both"/>
        <w:rPr>
          <w:rFonts w:asciiTheme="minorHAnsi" w:hAnsiTheme="minorHAnsi"/>
        </w:rPr>
      </w:pPr>
      <w:r w:rsidRPr="00BC2198">
        <w:rPr>
          <w:rFonts w:asciiTheme="minorHAnsi" w:hAnsiTheme="minorHAnsi"/>
          <w:bCs/>
        </w:rPr>
        <w:t>ok. 150 tys. zł. –</w:t>
      </w:r>
      <w:r w:rsidRPr="00BC2198">
        <w:rPr>
          <w:rFonts w:asciiTheme="minorHAnsi" w:hAnsiTheme="minorHAnsi"/>
        </w:rPr>
        <w:t xml:space="preserve"> oprogramowanie, licencje do komunikatora,</w:t>
      </w:r>
    </w:p>
    <w:p w:rsidR="00BC2198" w:rsidRPr="00BC2198" w:rsidRDefault="00BC2198" w:rsidP="00C71B58">
      <w:pPr>
        <w:numPr>
          <w:ilvl w:val="0"/>
          <w:numId w:val="12"/>
        </w:numPr>
        <w:spacing w:line="23" w:lineRule="atLeast"/>
        <w:jc w:val="both"/>
        <w:rPr>
          <w:rFonts w:asciiTheme="minorHAnsi" w:hAnsiTheme="minorHAnsi"/>
        </w:rPr>
      </w:pPr>
      <w:r w:rsidRPr="00BC2198">
        <w:rPr>
          <w:rFonts w:asciiTheme="minorHAnsi" w:hAnsiTheme="minorHAnsi"/>
          <w:bCs/>
        </w:rPr>
        <w:t>ok. 1, 2 mln zł. –</w:t>
      </w:r>
      <w:r w:rsidRPr="00BC2198">
        <w:rPr>
          <w:rFonts w:asciiTheme="minorHAnsi" w:hAnsiTheme="minorHAnsi"/>
        </w:rPr>
        <w:t xml:space="preserve"> telefony komórkowe,</w:t>
      </w:r>
    </w:p>
    <w:p w:rsidR="00BC2198" w:rsidRPr="00BC2198" w:rsidRDefault="00BC2198" w:rsidP="00C71B58">
      <w:pPr>
        <w:numPr>
          <w:ilvl w:val="0"/>
          <w:numId w:val="12"/>
        </w:numPr>
        <w:spacing w:line="23" w:lineRule="atLeast"/>
        <w:jc w:val="both"/>
        <w:rPr>
          <w:rFonts w:asciiTheme="minorHAnsi" w:hAnsiTheme="minorHAnsi"/>
        </w:rPr>
      </w:pPr>
      <w:r w:rsidRPr="00BC2198">
        <w:rPr>
          <w:rFonts w:asciiTheme="minorHAnsi" w:hAnsiTheme="minorHAnsi"/>
        </w:rPr>
        <w:t>liczba osób niezbędna do obsługi systemu: 10,</w:t>
      </w:r>
    </w:p>
    <w:p w:rsidR="00BC2198" w:rsidRPr="00BC2198" w:rsidRDefault="00BC2198" w:rsidP="00C71B58">
      <w:pPr>
        <w:spacing w:line="23" w:lineRule="atLeast"/>
        <w:jc w:val="both"/>
        <w:rPr>
          <w:rFonts w:asciiTheme="minorHAnsi" w:hAnsiTheme="minorHAnsi"/>
        </w:rPr>
      </w:pPr>
    </w:p>
    <w:p w:rsidR="00BC2198" w:rsidRPr="00BC2198" w:rsidRDefault="00BC2198" w:rsidP="00C71B58">
      <w:pPr>
        <w:numPr>
          <w:ilvl w:val="1"/>
          <w:numId w:val="11"/>
        </w:numPr>
        <w:spacing w:line="23" w:lineRule="atLeast"/>
        <w:jc w:val="both"/>
        <w:rPr>
          <w:rFonts w:asciiTheme="minorHAnsi" w:hAnsiTheme="minorHAnsi"/>
          <w:b/>
        </w:rPr>
      </w:pPr>
      <w:r w:rsidRPr="00BC2198">
        <w:rPr>
          <w:rFonts w:asciiTheme="minorHAnsi" w:hAnsiTheme="minorHAnsi"/>
          <w:b/>
        </w:rPr>
        <w:t>w przypadku budowy systemu dla ok. 1000 użytkowników - ok. 5, 75 mln zł.:</w:t>
      </w:r>
    </w:p>
    <w:p w:rsidR="00BC2198" w:rsidRPr="00BC2198" w:rsidRDefault="007E1853" w:rsidP="00C71B58">
      <w:pPr>
        <w:numPr>
          <w:ilvl w:val="0"/>
          <w:numId w:val="12"/>
        </w:numPr>
        <w:spacing w:line="23" w:lineRule="atLeast"/>
        <w:jc w:val="both"/>
        <w:rPr>
          <w:rFonts w:asciiTheme="minorHAnsi" w:hAnsiTheme="minorHAnsi"/>
          <w:bCs/>
        </w:rPr>
      </w:pPr>
      <w:r>
        <w:rPr>
          <w:rFonts w:asciiTheme="minorHAnsi" w:hAnsiTheme="minorHAnsi"/>
          <w:bCs/>
        </w:rPr>
        <w:t>ok. 2,5 mln zł. - i</w:t>
      </w:r>
      <w:r w:rsidR="00BC2198" w:rsidRPr="00BC2198">
        <w:rPr>
          <w:rFonts w:asciiTheme="minorHAnsi" w:hAnsiTheme="minorHAnsi"/>
          <w:bCs/>
        </w:rPr>
        <w:t>nfrastruktura sprzętow</w:t>
      </w:r>
      <w:r>
        <w:rPr>
          <w:rFonts w:asciiTheme="minorHAnsi" w:hAnsiTheme="minorHAnsi"/>
          <w:bCs/>
        </w:rPr>
        <w:t>a</w:t>
      </w:r>
      <w:r w:rsidR="00BC2198" w:rsidRPr="00BC2198">
        <w:rPr>
          <w:rFonts w:asciiTheme="minorHAnsi" w:hAnsiTheme="minorHAnsi"/>
          <w:bCs/>
        </w:rPr>
        <w:t xml:space="preserve"> (serwery domenowe, pocztowe, </w:t>
      </w:r>
      <w:r w:rsidR="00C71B58" w:rsidRPr="00BC2198">
        <w:rPr>
          <w:rFonts w:asciiTheme="minorHAnsi" w:hAnsiTheme="minorHAnsi"/>
          <w:bCs/>
        </w:rPr>
        <w:t>VPN</w:t>
      </w:r>
      <w:r w:rsidR="00BC2198" w:rsidRPr="00BC2198">
        <w:rPr>
          <w:rFonts w:asciiTheme="minorHAnsi" w:hAnsiTheme="minorHAnsi"/>
          <w:bCs/>
        </w:rPr>
        <w:t xml:space="preserve">, backup, firewall, </w:t>
      </w:r>
      <w:r w:rsidR="00C71B58" w:rsidRPr="00BC2198">
        <w:rPr>
          <w:rFonts w:asciiTheme="minorHAnsi" w:hAnsiTheme="minorHAnsi"/>
          <w:bCs/>
        </w:rPr>
        <w:t xml:space="preserve">VOIP </w:t>
      </w:r>
      <w:r w:rsidR="00BC2198" w:rsidRPr="00BC2198">
        <w:rPr>
          <w:rFonts w:asciiTheme="minorHAnsi" w:hAnsiTheme="minorHAnsi"/>
          <w:bCs/>
        </w:rPr>
        <w:t xml:space="preserve">itp.) </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 xml:space="preserve">ok. 700 tys. zł. -  licencje, </w:t>
      </w:r>
      <w:proofErr w:type="spellStart"/>
      <w:r w:rsidRPr="00BC2198">
        <w:rPr>
          <w:rFonts w:asciiTheme="minorHAnsi" w:hAnsiTheme="minorHAnsi"/>
          <w:bCs/>
        </w:rPr>
        <w:t>tokeny</w:t>
      </w:r>
      <w:proofErr w:type="spellEnd"/>
      <w:r w:rsidRPr="00BC2198">
        <w:rPr>
          <w:rFonts w:asciiTheme="minorHAnsi" w:hAnsiTheme="minorHAnsi"/>
          <w:bCs/>
        </w:rPr>
        <w:t xml:space="preserve">, </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ok. 150 tys. zł. – oprogramowanie, licencje do komunikatora,</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 xml:space="preserve">ok. 2,4 mln zł. – </w:t>
      </w:r>
      <w:r w:rsidRPr="00BC2198">
        <w:rPr>
          <w:rFonts w:asciiTheme="minorHAnsi" w:hAnsiTheme="minorHAnsi"/>
        </w:rPr>
        <w:t>telefony komórkowe</w:t>
      </w:r>
      <w:r w:rsidRPr="00BC2198">
        <w:rPr>
          <w:rFonts w:asciiTheme="minorHAnsi" w:hAnsiTheme="minorHAnsi"/>
          <w:bCs/>
        </w:rPr>
        <w:t>,</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liczba osób niezbędna do obsługi systemu: 15,</w:t>
      </w:r>
    </w:p>
    <w:p w:rsidR="00BC2198" w:rsidRPr="00BC2198" w:rsidRDefault="00BC2198" w:rsidP="00C71B58">
      <w:pPr>
        <w:spacing w:line="23" w:lineRule="atLeast"/>
        <w:jc w:val="both"/>
        <w:rPr>
          <w:rFonts w:asciiTheme="minorHAnsi" w:hAnsiTheme="minorHAnsi"/>
        </w:rPr>
      </w:pPr>
    </w:p>
    <w:p w:rsidR="00BC2198" w:rsidRPr="00BC2198" w:rsidRDefault="00BC2198" w:rsidP="00C71B58">
      <w:pPr>
        <w:numPr>
          <w:ilvl w:val="1"/>
          <w:numId w:val="11"/>
        </w:numPr>
        <w:spacing w:line="23" w:lineRule="atLeast"/>
        <w:jc w:val="both"/>
        <w:rPr>
          <w:rFonts w:asciiTheme="minorHAnsi" w:hAnsiTheme="minorHAnsi"/>
          <w:b/>
        </w:rPr>
      </w:pPr>
      <w:r w:rsidRPr="00BC2198">
        <w:rPr>
          <w:rFonts w:asciiTheme="minorHAnsi" w:hAnsiTheme="minorHAnsi"/>
          <w:b/>
        </w:rPr>
        <w:t>w przypadku budowy systemu dla ok. 3000 użytkowników - ok. 13 mln zł.:</w:t>
      </w:r>
    </w:p>
    <w:p w:rsidR="00BC2198" w:rsidRPr="00BC2198" w:rsidRDefault="007E1853" w:rsidP="00C71B58">
      <w:pPr>
        <w:numPr>
          <w:ilvl w:val="0"/>
          <w:numId w:val="12"/>
        </w:numPr>
        <w:spacing w:line="23" w:lineRule="atLeast"/>
        <w:jc w:val="both"/>
        <w:rPr>
          <w:rFonts w:asciiTheme="minorHAnsi" w:hAnsiTheme="minorHAnsi"/>
          <w:bCs/>
        </w:rPr>
      </w:pPr>
      <w:r>
        <w:rPr>
          <w:rFonts w:asciiTheme="minorHAnsi" w:hAnsiTheme="minorHAnsi"/>
          <w:bCs/>
        </w:rPr>
        <w:t>ok. 3,5 mln zł - i</w:t>
      </w:r>
      <w:r w:rsidR="00BC2198" w:rsidRPr="00BC2198">
        <w:rPr>
          <w:rFonts w:asciiTheme="minorHAnsi" w:hAnsiTheme="minorHAnsi"/>
          <w:bCs/>
        </w:rPr>
        <w:t>nfrastruktura sprzętow</w:t>
      </w:r>
      <w:r>
        <w:rPr>
          <w:rFonts w:asciiTheme="minorHAnsi" w:hAnsiTheme="minorHAnsi"/>
          <w:bCs/>
        </w:rPr>
        <w:t>a</w:t>
      </w:r>
      <w:r w:rsidR="00BC2198" w:rsidRPr="00BC2198">
        <w:rPr>
          <w:rFonts w:asciiTheme="minorHAnsi" w:hAnsiTheme="minorHAnsi"/>
          <w:bCs/>
        </w:rPr>
        <w:t xml:space="preserve"> (serwery domenowe, pocztowe, </w:t>
      </w:r>
      <w:r w:rsidR="00C71B58" w:rsidRPr="00BC2198">
        <w:rPr>
          <w:rFonts w:asciiTheme="minorHAnsi" w:hAnsiTheme="minorHAnsi"/>
          <w:bCs/>
        </w:rPr>
        <w:t>VPN</w:t>
      </w:r>
      <w:r w:rsidR="00BC2198" w:rsidRPr="00BC2198">
        <w:rPr>
          <w:rFonts w:asciiTheme="minorHAnsi" w:hAnsiTheme="minorHAnsi"/>
          <w:bCs/>
        </w:rPr>
        <w:t xml:space="preserve">, backup, firewall, </w:t>
      </w:r>
      <w:r w:rsidR="00C71B58" w:rsidRPr="00BC2198">
        <w:rPr>
          <w:rFonts w:asciiTheme="minorHAnsi" w:hAnsiTheme="minorHAnsi"/>
          <w:bCs/>
        </w:rPr>
        <w:t xml:space="preserve">VOIP </w:t>
      </w:r>
      <w:r w:rsidR="00BC2198" w:rsidRPr="00BC2198">
        <w:rPr>
          <w:rFonts w:asciiTheme="minorHAnsi" w:hAnsiTheme="minorHAnsi"/>
          <w:bCs/>
        </w:rPr>
        <w:t xml:space="preserve">itp.) </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 xml:space="preserve">ok. 2,1 mln zł -  licencje, </w:t>
      </w:r>
      <w:proofErr w:type="spellStart"/>
      <w:r w:rsidRPr="00BC2198">
        <w:rPr>
          <w:rFonts w:asciiTheme="minorHAnsi" w:hAnsiTheme="minorHAnsi"/>
          <w:bCs/>
        </w:rPr>
        <w:t>tokeny</w:t>
      </w:r>
      <w:proofErr w:type="spellEnd"/>
      <w:r w:rsidRPr="00BC2198">
        <w:rPr>
          <w:rFonts w:asciiTheme="minorHAnsi" w:hAnsiTheme="minorHAnsi"/>
          <w:bCs/>
        </w:rPr>
        <w:t xml:space="preserve">, </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ok. 150 tys. zł – oprogramowanie, licencje do komunikatora,</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 xml:space="preserve">ok. 7,2 mln zł – </w:t>
      </w:r>
      <w:r w:rsidRPr="00BC2198">
        <w:rPr>
          <w:rFonts w:asciiTheme="minorHAnsi" w:hAnsiTheme="minorHAnsi"/>
        </w:rPr>
        <w:t>telefony komórkowe</w:t>
      </w:r>
      <w:r w:rsidRPr="00BC2198">
        <w:rPr>
          <w:rFonts w:asciiTheme="minorHAnsi" w:hAnsiTheme="minorHAnsi"/>
          <w:bCs/>
        </w:rPr>
        <w:t>,</w:t>
      </w:r>
    </w:p>
    <w:p w:rsidR="00BC2198" w:rsidRPr="00BC2198" w:rsidRDefault="00BC2198" w:rsidP="00C71B58">
      <w:pPr>
        <w:numPr>
          <w:ilvl w:val="0"/>
          <w:numId w:val="12"/>
        </w:numPr>
        <w:spacing w:line="23" w:lineRule="atLeast"/>
        <w:jc w:val="both"/>
        <w:rPr>
          <w:rFonts w:asciiTheme="minorHAnsi" w:hAnsiTheme="minorHAnsi"/>
          <w:bCs/>
        </w:rPr>
      </w:pPr>
      <w:r w:rsidRPr="00BC2198">
        <w:rPr>
          <w:rFonts w:asciiTheme="minorHAnsi" w:hAnsiTheme="minorHAnsi"/>
          <w:bCs/>
        </w:rPr>
        <w:t>liczba osób niezbędna do obsługi systemu: 20</w:t>
      </w:r>
      <w:r w:rsidR="007E1853">
        <w:rPr>
          <w:rFonts w:asciiTheme="minorHAnsi" w:hAnsiTheme="minorHAnsi"/>
          <w:bCs/>
        </w:rPr>
        <w:t>.</w:t>
      </w:r>
    </w:p>
    <w:p w:rsidR="00BC2198" w:rsidRPr="00BC2198" w:rsidRDefault="00BC2198" w:rsidP="00BC2198">
      <w:pPr>
        <w:spacing w:after="120" w:line="23" w:lineRule="atLeast"/>
        <w:jc w:val="both"/>
        <w:rPr>
          <w:rFonts w:asciiTheme="minorHAnsi" w:hAnsiTheme="minorHAnsi"/>
        </w:rPr>
      </w:pPr>
    </w:p>
    <w:p w:rsidR="00BC2198" w:rsidRPr="00BC2198" w:rsidRDefault="00BC2198" w:rsidP="00BC2198">
      <w:pPr>
        <w:spacing w:after="120" w:line="23" w:lineRule="atLeast"/>
        <w:jc w:val="both"/>
        <w:rPr>
          <w:rFonts w:asciiTheme="minorHAnsi" w:hAnsiTheme="minorHAnsi"/>
        </w:rPr>
      </w:pPr>
    </w:p>
    <w:p w:rsidR="00FD4E59" w:rsidRPr="00C71B58" w:rsidRDefault="00FD4E59" w:rsidP="00FD4E59">
      <w:pPr>
        <w:spacing w:after="200" w:line="276" w:lineRule="auto"/>
        <w:ind w:left="3540"/>
        <w:jc w:val="center"/>
        <w:rPr>
          <w:rFonts w:ascii="Calibri" w:eastAsia="Calibri" w:hAnsi="Calibri"/>
          <w:i/>
          <w:lang w:eastAsia="en-US"/>
        </w:rPr>
      </w:pPr>
      <w:r w:rsidRPr="00C71B58">
        <w:rPr>
          <w:rFonts w:ascii="Calibri" w:eastAsia="Calibri" w:hAnsi="Calibri"/>
          <w:i/>
          <w:lang w:eastAsia="en-US"/>
        </w:rPr>
        <w:t>Z poważaniem</w:t>
      </w:r>
    </w:p>
    <w:p w:rsidR="00FD4E59" w:rsidRPr="00C71B58" w:rsidRDefault="00FD4E59" w:rsidP="00FD4E59">
      <w:pPr>
        <w:spacing w:line="276" w:lineRule="auto"/>
        <w:ind w:left="3538"/>
        <w:jc w:val="center"/>
        <w:rPr>
          <w:rFonts w:ascii="Calibri" w:eastAsia="Calibri" w:hAnsi="Calibri"/>
          <w:lang w:eastAsia="en-US"/>
        </w:rPr>
      </w:pPr>
      <w:r w:rsidRPr="00C71B58">
        <w:rPr>
          <w:rFonts w:ascii="Calibri" w:eastAsia="Calibri" w:hAnsi="Calibri"/>
          <w:b/>
          <w:i/>
          <w:lang w:eastAsia="en-US"/>
        </w:rPr>
        <w:t>Maciej Wąsik</w:t>
      </w:r>
      <w:r w:rsidRPr="00C71B58">
        <w:rPr>
          <w:rFonts w:ascii="Calibri" w:eastAsia="Calibri" w:hAnsi="Calibri"/>
          <w:b/>
          <w:i/>
          <w:lang w:eastAsia="en-US"/>
        </w:rPr>
        <w:br/>
      </w:r>
      <w:r w:rsidRPr="00C71B58">
        <w:rPr>
          <w:rFonts w:ascii="Calibri" w:eastAsia="Calibri" w:hAnsi="Calibri"/>
          <w:lang w:eastAsia="en-US"/>
        </w:rPr>
        <w:t xml:space="preserve">Sekretarz Stanu </w:t>
      </w:r>
    </w:p>
    <w:p w:rsidR="00FD4E59" w:rsidRPr="00C71B58" w:rsidRDefault="00FD4E59" w:rsidP="00FD4E59">
      <w:pPr>
        <w:spacing w:line="276" w:lineRule="auto"/>
        <w:ind w:left="3538"/>
        <w:jc w:val="center"/>
        <w:rPr>
          <w:rFonts w:ascii="Calibri" w:eastAsia="Calibri" w:hAnsi="Calibri"/>
          <w:lang w:eastAsia="en-US"/>
        </w:rPr>
      </w:pPr>
      <w:r w:rsidRPr="00C71B58">
        <w:rPr>
          <w:rFonts w:ascii="Calibri" w:eastAsia="Calibri" w:hAnsi="Calibri"/>
          <w:lang w:eastAsia="en-US"/>
        </w:rPr>
        <w:t>w Kancelarii Prezesa Rady Ministrów</w:t>
      </w:r>
    </w:p>
    <w:p w:rsidR="00EC18B4" w:rsidRPr="00D166AB" w:rsidRDefault="00FD4E59" w:rsidP="00600F68">
      <w:pPr>
        <w:spacing w:after="200" w:line="276" w:lineRule="auto"/>
        <w:ind w:left="2832"/>
        <w:jc w:val="center"/>
        <w:rPr>
          <w:rFonts w:asciiTheme="minorHAnsi" w:hAnsiTheme="minorHAnsi"/>
        </w:rPr>
      </w:pPr>
      <w:r w:rsidRPr="00B96E0B">
        <w:rPr>
          <w:rFonts w:ascii="Calibri" w:eastAsia="Calibri" w:hAnsi="Calibri"/>
          <w:sz w:val="18"/>
          <w:szCs w:val="18"/>
          <w:lang w:eastAsia="en-US"/>
        </w:rPr>
        <w:t xml:space="preserve">               /podpisano kwalifikowanym podpisem elektronicznym/</w:t>
      </w:r>
    </w:p>
    <w:sectPr w:rsidR="00EC18B4" w:rsidRPr="00D166AB" w:rsidSect="009D27C4">
      <w:headerReference w:type="default" r:id="rId8"/>
      <w:footerReference w:type="default" r:id="rId9"/>
      <w:headerReference w:type="first" r:id="rId10"/>
      <w:footerReference w:type="first" r:id="rId11"/>
      <w:pgSz w:w="11906" w:h="16838" w:code="9"/>
      <w:pgMar w:top="851" w:right="1134" w:bottom="1276"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0FB" w:rsidRDefault="006370FB">
      <w:r>
        <w:separator/>
      </w:r>
    </w:p>
  </w:endnote>
  <w:endnote w:type="continuationSeparator" w:id="0">
    <w:p w:rsidR="006370FB" w:rsidRDefault="0063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AD" w:rsidRPr="00EC2CF3" w:rsidRDefault="00CA6BA2" w:rsidP="00EC2CF3">
    <w:pPr>
      <w:pStyle w:val="Stopka"/>
    </w:pPr>
    <w:r>
      <w:rPr>
        <w:noProof/>
      </w:rPr>
      <w:drawing>
        <wp:anchor distT="0" distB="0" distL="114300" distR="114300" simplePos="0" relativeHeight="251661312" behindDoc="1" locked="0" layoutInCell="1" allowOverlap="1" wp14:anchorId="21F657FE" wp14:editId="029A81D2">
          <wp:simplePos x="0" y="0"/>
          <wp:positionH relativeFrom="column">
            <wp:posOffset>171450</wp:posOffset>
          </wp:positionH>
          <wp:positionV relativeFrom="paragraph">
            <wp:posOffset>-676275</wp:posOffset>
          </wp:positionV>
          <wp:extent cx="5391150" cy="962025"/>
          <wp:effectExtent l="0" t="0" r="0" b="9525"/>
          <wp:wrapNone/>
          <wp:docPr id="1" name="Obraz 1" descr="C:\Users\jkozlows\Desktop\WZOR_papier_stopka-prem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ozlows\Desktop\WZOR_papier_stopka-premi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11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B7" w:rsidRDefault="006905FB">
    <w:pPr>
      <w:pStyle w:val="Stopka"/>
    </w:pPr>
    <w:r>
      <w:rPr>
        <w:noProof/>
      </w:rPr>
      <w:drawing>
        <wp:anchor distT="0" distB="0" distL="114300" distR="114300" simplePos="0" relativeHeight="251659264" behindDoc="1" locked="0" layoutInCell="1" allowOverlap="1">
          <wp:simplePos x="0" y="0"/>
          <wp:positionH relativeFrom="column">
            <wp:posOffset>356235</wp:posOffset>
          </wp:positionH>
          <wp:positionV relativeFrom="paragraph">
            <wp:posOffset>-706120</wp:posOffset>
          </wp:positionV>
          <wp:extent cx="5391150" cy="962025"/>
          <wp:effectExtent l="0" t="0" r="0" b="9525"/>
          <wp:wrapNone/>
          <wp:docPr id="21" name="Obraz 21" descr="C:\Users\jkozlows\Desktop\WZOR_papier_stopka-prem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ozlows\Desktop\WZOR_papier_stopka-premi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11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0FB" w:rsidRDefault="006370FB">
      <w:r>
        <w:separator/>
      </w:r>
    </w:p>
  </w:footnote>
  <w:footnote w:type="continuationSeparator" w:id="0">
    <w:p w:rsidR="006370FB" w:rsidRDefault="00637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AD" w:rsidRDefault="00754FAD" w:rsidP="00EC2CF3">
    <w:pPr>
      <w:pStyle w:val="Nagwek"/>
      <w:ind w:left="-1134" w:right="113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420" w:rsidRDefault="00220420">
    <w:pPr>
      <w:pStyle w:val="Nagwek"/>
    </w:pPr>
    <w:r>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0</wp:posOffset>
          </wp:positionV>
          <wp:extent cx="5362575" cy="1938850"/>
          <wp:effectExtent l="0" t="0" r="0" b="4445"/>
          <wp:wrapNone/>
          <wp:docPr id="20" name="Obraz 20" descr="C:\Users\mkusmire\Desktop\WZOR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mkusmire\Desktop\WZOR_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62575" cy="193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3AF"/>
    <w:multiLevelType w:val="hybridMultilevel"/>
    <w:tmpl w:val="2DE047C0"/>
    <w:lvl w:ilvl="0" w:tplc="3F3C6026">
      <w:start w:val="1"/>
      <w:numFmt w:val="bullet"/>
      <w:lvlText w:val=""/>
      <w:lvlJc w:val="left"/>
      <w:pPr>
        <w:ind w:left="1779" w:hanging="360"/>
      </w:pPr>
      <w:rPr>
        <w:rFonts w:ascii="Symbol" w:hAnsi="Symbol" w:hint="default"/>
      </w:rPr>
    </w:lvl>
    <w:lvl w:ilvl="1" w:tplc="04150003">
      <w:start w:val="1"/>
      <w:numFmt w:val="decimal"/>
      <w:lvlText w:val="%2."/>
      <w:lvlJc w:val="left"/>
      <w:pPr>
        <w:tabs>
          <w:tab w:val="num" w:pos="2499"/>
        </w:tabs>
        <w:ind w:left="2499" w:hanging="360"/>
      </w:pPr>
    </w:lvl>
    <w:lvl w:ilvl="2" w:tplc="04150005">
      <w:start w:val="1"/>
      <w:numFmt w:val="decimal"/>
      <w:lvlText w:val="%3."/>
      <w:lvlJc w:val="left"/>
      <w:pPr>
        <w:tabs>
          <w:tab w:val="num" w:pos="3219"/>
        </w:tabs>
        <w:ind w:left="3219" w:hanging="360"/>
      </w:pPr>
    </w:lvl>
    <w:lvl w:ilvl="3" w:tplc="04150001">
      <w:start w:val="1"/>
      <w:numFmt w:val="decimal"/>
      <w:lvlText w:val="%4."/>
      <w:lvlJc w:val="left"/>
      <w:pPr>
        <w:tabs>
          <w:tab w:val="num" w:pos="3939"/>
        </w:tabs>
        <w:ind w:left="3939" w:hanging="360"/>
      </w:pPr>
    </w:lvl>
    <w:lvl w:ilvl="4" w:tplc="04150003">
      <w:start w:val="1"/>
      <w:numFmt w:val="decimal"/>
      <w:lvlText w:val="%5."/>
      <w:lvlJc w:val="left"/>
      <w:pPr>
        <w:tabs>
          <w:tab w:val="num" w:pos="4659"/>
        </w:tabs>
        <w:ind w:left="4659" w:hanging="360"/>
      </w:pPr>
    </w:lvl>
    <w:lvl w:ilvl="5" w:tplc="04150005">
      <w:start w:val="1"/>
      <w:numFmt w:val="decimal"/>
      <w:lvlText w:val="%6."/>
      <w:lvlJc w:val="left"/>
      <w:pPr>
        <w:tabs>
          <w:tab w:val="num" w:pos="5379"/>
        </w:tabs>
        <w:ind w:left="5379" w:hanging="360"/>
      </w:pPr>
    </w:lvl>
    <w:lvl w:ilvl="6" w:tplc="04150001">
      <w:start w:val="1"/>
      <w:numFmt w:val="decimal"/>
      <w:lvlText w:val="%7."/>
      <w:lvlJc w:val="left"/>
      <w:pPr>
        <w:tabs>
          <w:tab w:val="num" w:pos="6099"/>
        </w:tabs>
        <w:ind w:left="6099" w:hanging="360"/>
      </w:pPr>
    </w:lvl>
    <w:lvl w:ilvl="7" w:tplc="04150003">
      <w:start w:val="1"/>
      <w:numFmt w:val="decimal"/>
      <w:lvlText w:val="%8."/>
      <w:lvlJc w:val="left"/>
      <w:pPr>
        <w:tabs>
          <w:tab w:val="num" w:pos="6819"/>
        </w:tabs>
        <w:ind w:left="6819" w:hanging="360"/>
      </w:pPr>
    </w:lvl>
    <w:lvl w:ilvl="8" w:tplc="04150005">
      <w:start w:val="1"/>
      <w:numFmt w:val="decimal"/>
      <w:lvlText w:val="%9."/>
      <w:lvlJc w:val="left"/>
      <w:pPr>
        <w:tabs>
          <w:tab w:val="num" w:pos="7539"/>
        </w:tabs>
        <w:ind w:left="7539" w:hanging="360"/>
      </w:pPr>
    </w:lvl>
  </w:abstractNum>
  <w:abstractNum w:abstractNumId="1" w15:restartNumberingAfterBreak="0">
    <w:nsid w:val="038F2FD7"/>
    <w:multiLevelType w:val="hybridMultilevel"/>
    <w:tmpl w:val="FE2EE2F0"/>
    <w:lvl w:ilvl="0" w:tplc="0415000F">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15:restartNumberingAfterBreak="0">
    <w:nsid w:val="0E994255"/>
    <w:multiLevelType w:val="hybridMultilevel"/>
    <w:tmpl w:val="D508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72169"/>
    <w:multiLevelType w:val="hybridMultilevel"/>
    <w:tmpl w:val="BF606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93AD7"/>
    <w:multiLevelType w:val="hybridMultilevel"/>
    <w:tmpl w:val="EE18C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154F4"/>
    <w:multiLevelType w:val="hybridMultilevel"/>
    <w:tmpl w:val="BA54C4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770CA"/>
    <w:multiLevelType w:val="hybridMultilevel"/>
    <w:tmpl w:val="180CE5B4"/>
    <w:lvl w:ilvl="0" w:tplc="3574167C">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1728034E"/>
    <w:multiLevelType w:val="hybridMultilevel"/>
    <w:tmpl w:val="F12E2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295A16"/>
    <w:multiLevelType w:val="hybridMultilevel"/>
    <w:tmpl w:val="A8A69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670E1C"/>
    <w:multiLevelType w:val="hybridMultilevel"/>
    <w:tmpl w:val="D83AC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57460F"/>
    <w:multiLevelType w:val="multilevel"/>
    <w:tmpl w:val="F7562726"/>
    <w:lvl w:ilvl="0">
      <w:start w:val="1"/>
      <w:numFmt w:val="decimal"/>
      <w:lvlText w:val="%1."/>
      <w:lvlJc w:val="left"/>
      <w:rPr>
        <w:rFonts w:asciiTheme="minorHAnsi" w:eastAsia="Times New Roman" w:hAnsiTheme="minorHAnsi" w:cs="Times New Roman" w:hint="default"/>
        <w:b w:val="0"/>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E744F6"/>
    <w:multiLevelType w:val="hybridMultilevel"/>
    <w:tmpl w:val="C3FE7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876C41"/>
    <w:multiLevelType w:val="multilevel"/>
    <w:tmpl w:val="A8B00B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7356DD"/>
    <w:multiLevelType w:val="hybridMultilevel"/>
    <w:tmpl w:val="11FAFA2C"/>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4" w15:restartNumberingAfterBreak="0">
    <w:nsid w:val="67E92D77"/>
    <w:multiLevelType w:val="hybridMultilevel"/>
    <w:tmpl w:val="7C94BD58"/>
    <w:lvl w:ilvl="0" w:tplc="0415000F">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A26465"/>
    <w:multiLevelType w:val="multilevel"/>
    <w:tmpl w:val="79FE6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F965DF"/>
    <w:multiLevelType w:val="singleLevel"/>
    <w:tmpl w:val="CFB26910"/>
    <w:lvl w:ilvl="0">
      <w:start w:val="1"/>
      <w:numFmt w:val="decimal"/>
      <w:lvlText w:val="%1."/>
      <w:legacy w:legacy="1" w:legacySpace="0" w:legacyIndent="368"/>
      <w:lvlJc w:val="left"/>
      <w:rPr>
        <w:rFonts w:asciiTheme="minorHAnsi" w:hAnsiTheme="minorHAnsi" w:cs="Arial" w:hint="default"/>
      </w:rPr>
    </w:lvl>
  </w:abstractNum>
  <w:num w:numId="1">
    <w:abstractNumId w:val="16"/>
  </w:num>
  <w:num w:numId="2">
    <w:abstractNumId w:val="7"/>
  </w:num>
  <w:num w:numId="3">
    <w:abstractNumId w:val="9"/>
  </w:num>
  <w:num w:numId="4">
    <w:abstractNumId w:val="11"/>
  </w:num>
  <w:num w:numId="5">
    <w:abstractNumId w:val="4"/>
  </w:num>
  <w:num w:numId="6">
    <w:abstractNumId w:val="3"/>
  </w:num>
  <w:num w:numId="7">
    <w:abstractNumId w:val="10"/>
  </w:num>
  <w:num w:numId="8">
    <w:abstractNumId w:val="15"/>
  </w:num>
  <w:num w:numId="9">
    <w:abstractNumId w:val="12"/>
  </w:num>
  <w:num w:numId="10">
    <w:abstractNumId w:val="13"/>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num>
  <w:num w:numId="15">
    <w:abstractNumId w:val="1"/>
  </w:num>
  <w:num w:numId="16">
    <w:abstractNumId w:val="0"/>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BD"/>
    <w:rsid w:val="00005110"/>
    <w:rsid w:val="0001379F"/>
    <w:rsid w:val="00015968"/>
    <w:rsid w:val="00016857"/>
    <w:rsid w:val="00041B54"/>
    <w:rsid w:val="000454DD"/>
    <w:rsid w:val="00052016"/>
    <w:rsid w:val="000547AD"/>
    <w:rsid w:val="000876D7"/>
    <w:rsid w:val="0009496A"/>
    <w:rsid w:val="000A31C2"/>
    <w:rsid w:val="000A67D8"/>
    <w:rsid w:val="000B42EB"/>
    <w:rsid w:val="000C08D6"/>
    <w:rsid w:val="000C62DD"/>
    <w:rsid w:val="000C6F70"/>
    <w:rsid w:val="000D24A0"/>
    <w:rsid w:val="000D2CCF"/>
    <w:rsid w:val="000D40CA"/>
    <w:rsid w:val="000E2BE7"/>
    <w:rsid w:val="000E4F6B"/>
    <w:rsid w:val="000F09B2"/>
    <w:rsid w:val="000F3292"/>
    <w:rsid w:val="00106BFA"/>
    <w:rsid w:val="0012268A"/>
    <w:rsid w:val="00131026"/>
    <w:rsid w:val="00133E9E"/>
    <w:rsid w:val="00134993"/>
    <w:rsid w:val="00136E3D"/>
    <w:rsid w:val="001401B4"/>
    <w:rsid w:val="00143552"/>
    <w:rsid w:val="00146D33"/>
    <w:rsid w:val="00163B4F"/>
    <w:rsid w:val="00173791"/>
    <w:rsid w:val="00182F5B"/>
    <w:rsid w:val="0018459E"/>
    <w:rsid w:val="001872C8"/>
    <w:rsid w:val="001B3B5A"/>
    <w:rsid w:val="001C2F78"/>
    <w:rsid w:val="001C52E6"/>
    <w:rsid w:val="001D4BD5"/>
    <w:rsid w:val="001D6469"/>
    <w:rsid w:val="001E36F1"/>
    <w:rsid w:val="001E6F8E"/>
    <w:rsid w:val="001F255F"/>
    <w:rsid w:val="001F52F0"/>
    <w:rsid w:val="001F67FE"/>
    <w:rsid w:val="002045CB"/>
    <w:rsid w:val="00210EA9"/>
    <w:rsid w:val="00217A46"/>
    <w:rsid w:val="00220420"/>
    <w:rsid w:val="002559D4"/>
    <w:rsid w:val="00262415"/>
    <w:rsid w:val="00283FC9"/>
    <w:rsid w:val="002A0DA3"/>
    <w:rsid w:val="002C0265"/>
    <w:rsid w:val="002C3B5B"/>
    <w:rsid w:val="002D10FD"/>
    <w:rsid w:val="002D1DFC"/>
    <w:rsid w:val="002D31BF"/>
    <w:rsid w:val="002D3EEA"/>
    <w:rsid w:val="002D59A5"/>
    <w:rsid w:val="002D6DAA"/>
    <w:rsid w:val="002E7654"/>
    <w:rsid w:val="002F3178"/>
    <w:rsid w:val="0030379A"/>
    <w:rsid w:val="00330A19"/>
    <w:rsid w:val="00340829"/>
    <w:rsid w:val="00342548"/>
    <w:rsid w:val="003556D8"/>
    <w:rsid w:val="00356038"/>
    <w:rsid w:val="00364EB8"/>
    <w:rsid w:val="003713D9"/>
    <w:rsid w:val="00374DAC"/>
    <w:rsid w:val="00384767"/>
    <w:rsid w:val="00384999"/>
    <w:rsid w:val="0038572D"/>
    <w:rsid w:val="003B2B82"/>
    <w:rsid w:val="003B76E1"/>
    <w:rsid w:val="003D2400"/>
    <w:rsid w:val="003D31EB"/>
    <w:rsid w:val="003F56AC"/>
    <w:rsid w:val="0040281F"/>
    <w:rsid w:val="00403AF8"/>
    <w:rsid w:val="0040714E"/>
    <w:rsid w:val="004128A8"/>
    <w:rsid w:val="00416412"/>
    <w:rsid w:val="00420A77"/>
    <w:rsid w:val="004400F3"/>
    <w:rsid w:val="0044286B"/>
    <w:rsid w:val="004450CE"/>
    <w:rsid w:val="00446181"/>
    <w:rsid w:val="00457C2F"/>
    <w:rsid w:val="00460FDC"/>
    <w:rsid w:val="0048769C"/>
    <w:rsid w:val="004931AC"/>
    <w:rsid w:val="004955FB"/>
    <w:rsid w:val="004A3162"/>
    <w:rsid w:val="004A4025"/>
    <w:rsid w:val="004C76A1"/>
    <w:rsid w:val="004D1194"/>
    <w:rsid w:val="004D187C"/>
    <w:rsid w:val="004D5AC0"/>
    <w:rsid w:val="004E5402"/>
    <w:rsid w:val="004F20D4"/>
    <w:rsid w:val="00500AE1"/>
    <w:rsid w:val="005027D7"/>
    <w:rsid w:val="00505FCF"/>
    <w:rsid w:val="00532475"/>
    <w:rsid w:val="00534C66"/>
    <w:rsid w:val="005519D5"/>
    <w:rsid w:val="00560397"/>
    <w:rsid w:val="00561F22"/>
    <w:rsid w:val="00565694"/>
    <w:rsid w:val="00575213"/>
    <w:rsid w:val="005828D0"/>
    <w:rsid w:val="0058604A"/>
    <w:rsid w:val="0058723A"/>
    <w:rsid w:val="00592451"/>
    <w:rsid w:val="00597CAB"/>
    <w:rsid w:val="005B6B38"/>
    <w:rsid w:val="005C3500"/>
    <w:rsid w:val="005D2CDB"/>
    <w:rsid w:val="005F1B2B"/>
    <w:rsid w:val="005F2F1F"/>
    <w:rsid w:val="00600F68"/>
    <w:rsid w:val="006259F1"/>
    <w:rsid w:val="00636BFF"/>
    <w:rsid w:val="006370FB"/>
    <w:rsid w:val="00646616"/>
    <w:rsid w:val="00646FF9"/>
    <w:rsid w:val="00664191"/>
    <w:rsid w:val="00667F37"/>
    <w:rsid w:val="0068624B"/>
    <w:rsid w:val="006905FB"/>
    <w:rsid w:val="006908EC"/>
    <w:rsid w:val="006B0B5B"/>
    <w:rsid w:val="006B1F25"/>
    <w:rsid w:val="006C5064"/>
    <w:rsid w:val="006E429C"/>
    <w:rsid w:val="006E5747"/>
    <w:rsid w:val="006F6E3F"/>
    <w:rsid w:val="006F7448"/>
    <w:rsid w:val="00701B44"/>
    <w:rsid w:val="00716FDF"/>
    <w:rsid w:val="00721F26"/>
    <w:rsid w:val="00722739"/>
    <w:rsid w:val="00722975"/>
    <w:rsid w:val="00732C85"/>
    <w:rsid w:val="00754FAD"/>
    <w:rsid w:val="00755B15"/>
    <w:rsid w:val="00764003"/>
    <w:rsid w:val="00767B3A"/>
    <w:rsid w:val="00772F76"/>
    <w:rsid w:val="00791609"/>
    <w:rsid w:val="00794747"/>
    <w:rsid w:val="00797A0E"/>
    <w:rsid w:val="007A417D"/>
    <w:rsid w:val="007B2480"/>
    <w:rsid w:val="007C20E6"/>
    <w:rsid w:val="007C2B60"/>
    <w:rsid w:val="007D3B1D"/>
    <w:rsid w:val="007D4D82"/>
    <w:rsid w:val="007E1853"/>
    <w:rsid w:val="007E64F6"/>
    <w:rsid w:val="007F06FA"/>
    <w:rsid w:val="007F33F0"/>
    <w:rsid w:val="008022C2"/>
    <w:rsid w:val="0080383C"/>
    <w:rsid w:val="0081566E"/>
    <w:rsid w:val="0081756A"/>
    <w:rsid w:val="0082359A"/>
    <w:rsid w:val="008414D2"/>
    <w:rsid w:val="00842CBA"/>
    <w:rsid w:val="0084498F"/>
    <w:rsid w:val="00847B7E"/>
    <w:rsid w:val="0085055D"/>
    <w:rsid w:val="00862EB8"/>
    <w:rsid w:val="008665B2"/>
    <w:rsid w:val="008841B7"/>
    <w:rsid w:val="008921CD"/>
    <w:rsid w:val="008975F3"/>
    <w:rsid w:val="008C31F7"/>
    <w:rsid w:val="008D5E36"/>
    <w:rsid w:val="008E2C73"/>
    <w:rsid w:val="008E4346"/>
    <w:rsid w:val="009108F9"/>
    <w:rsid w:val="0093146B"/>
    <w:rsid w:val="00937A71"/>
    <w:rsid w:val="00940BA9"/>
    <w:rsid w:val="0095703E"/>
    <w:rsid w:val="00971F61"/>
    <w:rsid w:val="009815C2"/>
    <w:rsid w:val="00984B04"/>
    <w:rsid w:val="00992067"/>
    <w:rsid w:val="009A1BFB"/>
    <w:rsid w:val="009A31BE"/>
    <w:rsid w:val="009A7721"/>
    <w:rsid w:val="009B1983"/>
    <w:rsid w:val="009C0AA7"/>
    <w:rsid w:val="009C2C00"/>
    <w:rsid w:val="009C36E2"/>
    <w:rsid w:val="009D030F"/>
    <w:rsid w:val="009D27C4"/>
    <w:rsid w:val="009D3731"/>
    <w:rsid w:val="009E6A06"/>
    <w:rsid w:val="009F6E23"/>
    <w:rsid w:val="00A0477F"/>
    <w:rsid w:val="00A21013"/>
    <w:rsid w:val="00A32599"/>
    <w:rsid w:val="00A357BD"/>
    <w:rsid w:val="00A421D2"/>
    <w:rsid w:val="00A42C30"/>
    <w:rsid w:val="00A46D66"/>
    <w:rsid w:val="00A471BD"/>
    <w:rsid w:val="00A615D1"/>
    <w:rsid w:val="00A73571"/>
    <w:rsid w:val="00A97C43"/>
    <w:rsid w:val="00AA314E"/>
    <w:rsid w:val="00AA3387"/>
    <w:rsid w:val="00AA6122"/>
    <w:rsid w:val="00AB4969"/>
    <w:rsid w:val="00AB6459"/>
    <w:rsid w:val="00AC27F4"/>
    <w:rsid w:val="00AC5F10"/>
    <w:rsid w:val="00AC7E58"/>
    <w:rsid w:val="00B07439"/>
    <w:rsid w:val="00B269FD"/>
    <w:rsid w:val="00B31F07"/>
    <w:rsid w:val="00B37E50"/>
    <w:rsid w:val="00B6784A"/>
    <w:rsid w:val="00B72DF2"/>
    <w:rsid w:val="00B92009"/>
    <w:rsid w:val="00B96E0B"/>
    <w:rsid w:val="00BB264D"/>
    <w:rsid w:val="00BB2815"/>
    <w:rsid w:val="00BC2198"/>
    <w:rsid w:val="00BC6F66"/>
    <w:rsid w:val="00BD5A16"/>
    <w:rsid w:val="00BD6ED0"/>
    <w:rsid w:val="00BE610A"/>
    <w:rsid w:val="00BF3960"/>
    <w:rsid w:val="00C26AA1"/>
    <w:rsid w:val="00C30EE8"/>
    <w:rsid w:val="00C33102"/>
    <w:rsid w:val="00C377AE"/>
    <w:rsid w:val="00C42CBF"/>
    <w:rsid w:val="00C52684"/>
    <w:rsid w:val="00C52709"/>
    <w:rsid w:val="00C639C1"/>
    <w:rsid w:val="00C71B58"/>
    <w:rsid w:val="00C82BCE"/>
    <w:rsid w:val="00C8360A"/>
    <w:rsid w:val="00C92898"/>
    <w:rsid w:val="00C94C1D"/>
    <w:rsid w:val="00C96309"/>
    <w:rsid w:val="00CA6BA2"/>
    <w:rsid w:val="00CD24EF"/>
    <w:rsid w:val="00CD792F"/>
    <w:rsid w:val="00CE72BF"/>
    <w:rsid w:val="00CF35A7"/>
    <w:rsid w:val="00CF671F"/>
    <w:rsid w:val="00D05B72"/>
    <w:rsid w:val="00D134C3"/>
    <w:rsid w:val="00D166AB"/>
    <w:rsid w:val="00D31B06"/>
    <w:rsid w:val="00D33A2B"/>
    <w:rsid w:val="00D43C7C"/>
    <w:rsid w:val="00D536F4"/>
    <w:rsid w:val="00D6614A"/>
    <w:rsid w:val="00D76137"/>
    <w:rsid w:val="00D77965"/>
    <w:rsid w:val="00D94CFA"/>
    <w:rsid w:val="00DA1CF2"/>
    <w:rsid w:val="00DA2997"/>
    <w:rsid w:val="00DA3AD8"/>
    <w:rsid w:val="00DA53D6"/>
    <w:rsid w:val="00DA685B"/>
    <w:rsid w:val="00DA6FF9"/>
    <w:rsid w:val="00DB2DFE"/>
    <w:rsid w:val="00DC1CDA"/>
    <w:rsid w:val="00DC5A28"/>
    <w:rsid w:val="00DC6D00"/>
    <w:rsid w:val="00DC740A"/>
    <w:rsid w:val="00DE09E7"/>
    <w:rsid w:val="00E00574"/>
    <w:rsid w:val="00E050DE"/>
    <w:rsid w:val="00E31342"/>
    <w:rsid w:val="00E434CB"/>
    <w:rsid w:val="00E52F2B"/>
    <w:rsid w:val="00E549D0"/>
    <w:rsid w:val="00E65A17"/>
    <w:rsid w:val="00E735F0"/>
    <w:rsid w:val="00E80F3D"/>
    <w:rsid w:val="00E86F4F"/>
    <w:rsid w:val="00EB0320"/>
    <w:rsid w:val="00EC18B4"/>
    <w:rsid w:val="00EC2CF3"/>
    <w:rsid w:val="00ED1A2E"/>
    <w:rsid w:val="00EE2B3C"/>
    <w:rsid w:val="00EF165E"/>
    <w:rsid w:val="00F37FA7"/>
    <w:rsid w:val="00F54672"/>
    <w:rsid w:val="00F738FA"/>
    <w:rsid w:val="00F7422A"/>
    <w:rsid w:val="00F7776A"/>
    <w:rsid w:val="00F84898"/>
    <w:rsid w:val="00F85A6A"/>
    <w:rsid w:val="00F935F6"/>
    <w:rsid w:val="00FA0D5D"/>
    <w:rsid w:val="00FA206E"/>
    <w:rsid w:val="00FA5F6B"/>
    <w:rsid w:val="00FA6E68"/>
    <w:rsid w:val="00FD4E59"/>
    <w:rsid w:val="00FE320B"/>
    <w:rsid w:val="00FE3A12"/>
    <w:rsid w:val="00FE6752"/>
    <w:rsid w:val="00FE6CE6"/>
    <w:rsid w:val="00FF08D8"/>
    <w:rsid w:val="00FF63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B65E57-B326-478D-9D44-BBD3E0A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9A1B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B37E50"/>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A0DA3"/>
    <w:pPr>
      <w:tabs>
        <w:tab w:val="center" w:pos="4536"/>
        <w:tab w:val="right" w:pos="9072"/>
      </w:tabs>
    </w:pPr>
  </w:style>
  <w:style w:type="paragraph" w:styleId="Stopka">
    <w:name w:val="footer"/>
    <w:basedOn w:val="Normalny"/>
    <w:rsid w:val="002A0DA3"/>
    <w:pPr>
      <w:tabs>
        <w:tab w:val="center" w:pos="4536"/>
        <w:tab w:val="right" w:pos="9072"/>
      </w:tabs>
    </w:pPr>
  </w:style>
  <w:style w:type="paragraph" w:styleId="Tekstdymka">
    <w:name w:val="Balloon Text"/>
    <w:basedOn w:val="Normalny"/>
    <w:link w:val="TekstdymkaZnak"/>
    <w:uiPriority w:val="99"/>
    <w:semiHidden/>
    <w:unhideWhenUsed/>
    <w:rsid w:val="00C82BCE"/>
    <w:rPr>
      <w:rFonts w:ascii="Tahoma" w:hAnsi="Tahoma" w:cs="Tahoma"/>
      <w:sz w:val="16"/>
      <w:szCs w:val="16"/>
    </w:rPr>
  </w:style>
  <w:style w:type="character" w:customStyle="1" w:styleId="TekstdymkaZnak">
    <w:name w:val="Tekst dymka Znak"/>
    <w:basedOn w:val="Domylnaczcionkaakapitu"/>
    <w:link w:val="Tekstdymka"/>
    <w:uiPriority w:val="99"/>
    <w:semiHidden/>
    <w:rsid w:val="00C82BCE"/>
    <w:rPr>
      <w:rFonts w:ascii="Tahoma" w:hAnsi="Tahoma" w:cs="Tahoma"/>
      <w:sz w:val="16"/>
      <w:szCs w:val="16"/>
    </w:rPr>
  </w:style>
  <w:style w:type="character" w:customStyle="1" w:styleId="Nagwek2Znak">
    <w:name w:val="Nagłówek 2 Znak"/>
    <w:basedOn w:val="Domylnaczcionkaakapitu"/>
    <w:link w:val="Nagwek2"/>
    <w:rsid w:val="00B37E50"/>
    <w:rPr>
      <w:sz w:val="24"/>
    </w:rPr>
  </w:style>
  <w:style w:type="paragraph" w:styleId="Tekstprzypisudolnego">
    <w:name w:val="footnote text"/>
    <w:basedOn w:val="Normalny"/>
    <w:link w:val="TekstprzypisudolnegoZnak"/>
    <w:uiPriority w:val="99"/>
    <w:unhideWhenUsed/>
    <w:rsid w:val="00F7422A"/>
    <w:rPr>
      <w:sz w:val="20"/>
      <w:szCs w:val="20"/>
    </w:rPr>
  </w:style>
  <w:style w:type="character" w:customStyle="1" w:styleId="TekstprzypisudolnegoZnak">
    <w:name w:val="Tekst przypisu dolnego Znak"/>
    <w:basedOn w:val="Domylnaczcionkaakapitu"/>
    <w:link w:val="Tekstprzypisudolnego"/>
    <w:uiPriority w:val="99"/>
    <w:rsid w:val="00F7422A"/>
  </w:style>
  <w:style w:type="character" w:styleId="Odwoanieprzypisudolnego">
    <w:name w:val="footnote reference"/>
    <w:basedOn w:val="Domylnaczcionkaakapitu"/>
    <w:uiPriority w:val="99"/>
    <w:semiHidden/>
    <w:unhideWhenUsed/>
    <w:rsid w:val="00F7422A"/>
    <w:rPr>
      <w:vertAlign w:val="superscript"/>
    </w:rPr>
  </w:style>
  <w:style w:type="character" w:styleId="Odwoaniedokomentarza">
    <w:name w:val="annotation reference"/>
    <w:basedOn w:val="Domylnaczcionkaakapitu"/>
    <w:uiPriority w:val="99"/>
    <w:semiHidden/>
    <w:unhideWhenUsed/>
    <w:rsid w:val="00E434CB"/>
    <w:rPr>
      <w:sz w:val="16"/>
      <w:szCs w:val="16"/>
    </w:rPr>
  </w:style>
  <w:style w:type="paragraph" w:styleId="Tekstkomentarza">
    <w:name w:val="annotation text"/>
    <w:basedOn w:val="Normalny"/>
    <w:link w:val="TekstkomentarzaZnak"/>
    <w:uiPriority w:val="99"/>
    <w:semiHidden/>
    <w:unhideWhenUsed/>
    <w:rsid w:val="00E434CB"/>
    <w:rPr>
      <w:sz w:val="20"/>
      <w:szCs w:val="20"/>
    </w:rPr>
  </w:style>
  <w:style w:type="character" w:customStyle="1" w:styleId="TekstkomentarzaZnak">
    <w:name w:val="Tekst komentarza Znak"/>
    <w:basedOn w:val="Domylnaczcionkaakapitu"/>
    <w:link w:val="Tekstkomentarza"/>
    <w:uiPriority w:val="99"/>
    <w:semiHidden/>
    <w:rsid w:val="00E434CB"/>
  </w:style>
  <w:style w:type="paragraph" w:styleId="Tematkomentarza">
    <w:name w:val="annotation subject"/>
    <w:basedOn w:val="Tekstkomentarza"/>
    <w:next w:val="Tekstkomentarza"/>
    <w:link w:val="TematkomentarzaZnak"/>
    <w:uiPriority w:val="99"/>
    <w:semiHidden/>
    <w:unhideWhenUsed/>
    <w:rsid w:val="00E434CB"/>
    <w:rPr>
      <w:b/>
      <w:bCs/>
    </w:rPr>
  </w:style>
  <w:style w:type="character" w:customStyle="1" w:styleId="TematkomentarzaZnak">
    <w:name w:val="Temat komentarza Znak"/>
    <w:basedOn w:val="TekstkomentarzaZnak"/>
    <w:link w:val="Tematkomentarza"/>
    <w:uiPriority w:val="99"/>
    <w:semiHidden/>
    <w:rsid w:val="00E434CB"/>
    <w:rPr>
      <w:b/>
      <w:bCs/>
    </w:rPr>
  </w:style>
  <w:style w:type="paragraph" w:styleId="Akapitzlist">
    <w:name w:val="List Paragraph"/>
    <w:basedOn w:val="Normalny"/>
    <w:uiPriority w:val="34"/>
    <w:qFormat/>
    <w:rsid w:val="00005110"/>
    <w:pPr>
      <w:ind w:left="720"/>
      <w:contextualSpacing/>
    </w:pPr>
  </w:style>
  <w:style w:type="character" w:styleId="Hipercze">
    <w:name w:val="Hyperlink"/>
    <w:basedOn w:val="Domylnaczcionkaakapitu"/>
    <w:uiPriority w:val="99"/>
    <w:unhideWhenUsed/>
    <w:rsid w:val="0038572D"/>
    <w:rPr>
      <w:color w:val="0563C1" w:themeColor="hyperlink"/>
      <w:u w:val="single"/>
    </w:rPr>
  </w:style>
  <w:style w:type="character" w:customStyle="1" w:styleId="Teksttreci">
    <w:name w:val="Tekst treści_"/>
    <w:basedOn w:val="Domylnaczcionkaakapitu"/>
    <w:link w:val="Teksttreci0"/>
    <w:rsid w:val="00BD5A16"/>
    <w:rPr>
      <w:shd w:val="clear" w:color="auto" w:fill="FFFFFF"/>
    </w:rPr>
  </w:style>
  <w:style w:type="character" w:customStyle="1" w:styleId="Nagwek10">
    <w:name w:val="Nagłówek #1_"/>
    <w:basedOn w:val="Domylnaczcionkaakapitu"/>
    <w:link w:val="Nagwek11"/>
    <w:rsid w:val="00BD5A16"/>
    <w:rPr>
      <w:b/>
      <w:bCs/>
      <w:shd w:val="clear" w:color="auto" w:fill="FFFFFF"/>
    </w:rPr>
  </w:style>
  <w:style w:type="paragraph" w:customStyle="1" w:styleId="Teksttreci0">
    <w:name w:val="Tekst treści"/>
    <w:basedOn w:val="Normalny"/>
    <w:link w:val="Teksttreci"/>
    <w:rsid w:val="00BD5A16"/>
    <w:pPr>
      <w:widowControl w:val="0"/>
      <w:shd w:val="clear" w:color="auto" w:fill="FFFFFF"/>
      <w:spacing w:after="120" w:line="276" w:lineRule="auto"/>
      <w:ind w:firstLine="400"/>
      <w:jc w:val="both"/>
    </w:pPr>
    <w:rPr>
      <w:sz w:val="20"/>
      <w:szCs w:val="20"/>
    </w:rPr>
  </w:style>
  <w:style w:type="paragraph" w:customStyle="1" w:styleId="Nagwek11">
    <w:name w:val="Nagłówek #1"/>
    <w:basedOn w:val="Normalny"/>
    <w:link w:val="Nagwek10"/>
    <w:rsid w:val="00BD5A16"/>
    <w:pPr>
      <w:widowControl w:val="0"/>
      <w:shd w:val="clear" w:color="auto" w:fill="FFFFFF"/>
      <w:spacing w:after="120" w:line="276" w:lineRule="auto"/>
      <w:ind w:firstLine="730"/>
      <w:jc w:val="both"/>
      <w:outlineLvl w:val="0"/>
    </w:pPr>
    <w:rPr>
      <w:b/>
      <w:bCs/>
      <w:sz w:val="20"/>
      <w:szCs w:val="20"/>
    </w:rPr>
  </w:style>
  <w:style w:type="character" w:customStyle="1" w:styleId="Nagwek1Znak">
    <w:name w:val="Nagłówek 1 Znak"/>
    <w:basedOn w:val="Domylnaczcionkaakapitu"/>
    <w:link w:val="Nagwek1"/>
    <w:uiPriority w:val="9"/>
    <w:rsid w:val="009A1BF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45589">
      <w:bodyDiv w:val="1"/>
      <w:marLeft w:val="0"/>
      <w:marRight w:val="0"/>
      <w:marTop w:val="0"/>
      <w:marBottom w:val="0"/>
      <w:divBdr>
        <w:top w:val="none" w:sz="0" w:space="0" w:color="auto"/>
        <w:left w:val="none" w:sz="0" w:space="0" w:color="auto"/>
        <w:bottom w:val="none" w:sz="0" w:space="0" w:color="auto"/>
        <w:right w:val="none" w:sz="0" w:space="0" w:color="auto"/>
      </w:divBdr>
    </w:div>
    <w:div w:id="842816469">
      <w:bodyDiv w:val="1"/>
      <w:marLeft w:val="0"/>
      <w:marRight w:val="0"/>
      <w:marTop w:val="0"/>
      <w:marBottom w:val="0"/>
      <w:divBdr>
        <w:top w:val="none" w:sz="0" w:space="0" w:color="auto"/>
        <w:left w:val="none" w:sz="0" w:space="0" w:color="auto"/>
        <w:bottom w:val="none" w:sz="0" w:space="0" w:color="auto"/>
        <w:right w:val="none" w:sz="0" w:space="0" w:color="auto"/>
      </w:divBdr>
    </w:div>
    <w:div w:id="899174646">
      <w:bodyDiv w:val="1"/>
      <w:marLeft w:val="0"/>
      <w:marRight w:val="0"/>
      <w:marTop w:val="0"/>
      <w:marBottom w:val="0"/>
      <w:divBdr>
        <w:top w:val="none" w:sz="0" w:space="0" w:color="auto"/>
        <w:left w:val="none" w:sz="0" w:space="0" w:color="auto"/>
        <w:bottom w:val="none" w:sz="0" w:space="0" w:color="auto"/>
        <w:right w:val="none" w:sz="0" w:space="0" w:color="auto"/>
      </w:divBdr>
      <w:divsChild>
        <w:div w:id="1827432312">
          <w:marLeft w:val="0"/>
          <w:marRight w:val="0"/>
          <w:marTop w:val="0"/>
          <w:marBottom w:val="0"/>
          <w:divBdr>
            <w:top w:val="none" w:sz="0" w:space="0" w:color="auto"/>
            <w:left w:val="none" w:sz="0" w:space="0" w:color="auto"/>
            <w:bottom w:val="none" w:sz="0" w:space="0" w:color="auto"/>
            <w:right w:val="none" w:sz="0" w:space="0" w:color="auto"/>
          </w:divBdr>
        </w:div>
        <w:div w:id="164171937">
          <w:marLeft w:val="0"/>
          <w:marRight w:val="0"/>
          <w:marTop w:val="0"/>
          <w:marBottom w:val="0"/>
          <w:divBdr>
            <w:top w:val="none" w:sz="0" w:space="0" w:color="auto"/>
            <w:left w:val="none" w:sz="0" w:space="0" w:color="auto"/>
            <w:bottom w:val="none" w:sz="0" w:space="0" w:color="auto"/>
            <w:right w:val="none" w:sz="0" w:space="0" w:color="auto"/>
          </w:divBdr>
        </w:div>
        <w:div w:id="1921867856">
          <w:marLeft w:val="0"/>
          <w:marRight w:val="0"/>
          <w:marTop w:val="0"/>
          <w:marBottom w:val="0"/>
          <w:divBdr>
            <w:top w:val="none" w:sz="0" w:space="0" w:color="auto"/>
            <w:left w:val="none" w:sz="0" w:space="0" w:color="auto"/>
            <w:bottom w:val="none" w:sz="0" w:space="0" w:color="auto"/>
            <w:right w:val="none" w:sz="0" w:space="0" w:color="auto"/>
          </w:divBdr>
        </w:div>
        <w:div w:id="153187313">
          <w:marLeft w:val="0"/>
          <w:marRight w:val="0"/>
          <w:marTop w:val="0"/>
          <w:marBottom w:val="0"/>
          <w:divBdr>
            <w:top w:val="none" w:sz="0" w:space="0" w:color="auto"/>
            <w:left w:val="none" w:sz="0" w:space="0" w:color="auto"/>
            <w:bottom w:val="none" w:sz="0" w:space="0" w:color="auto"/>
            <w:right w:val="none" w:sz="0" w:space="0" w:color="auto"/>
          </w:divBdr>
        </w:div>
        <w:div w:id="412891999">
          <w:marLeft w:val="0"/>
          <w:marRight w:val="0"/>
          <w:marTop w:val="0"/>
          <w:marBottom w:val="0"/>
          <w:divBdr>
            <w:top w:val="none" w:sz="0" w:space="0" w:color="auto"/>
            <w:left w:val="none" w:sz="0" w:space="0" w:color="auto"/>
            <w:bottom w:val="none" w:sz="0" w:space="0" w:color="auto"/>
            <w:right w:val="none" w:sz="0" w:space="0" w:color="auto"/>
          </w:divBdr>
        </w:div>
        <w:div w:id="1310594876">
          <w:marLeft w:val="0"/>
          <w:marRight w:val="0"/>
          <w:marTop w:val="0"/>
          <w:marBottom w:val="0"/>
          <w:divBdr>
            <w:top w:val="none" w:sz="0" w:space="0" w:color="auto"/>
            <w:left w:val="none" w:sz="0" w:space="0" w:color="auto"/>
            <w:bottom w:val="none" w:sz="0" w:space="0" w:color="auto"/>
            <w:right w:val="none" w:sz="0" w:space="0" w:color="auto"/>
          </w:divBdr>
        </w:div>
        <w:div w:id="1715420179">
          <w:marLeft w:val="0"/>
          <w:marRight w:val="0"/>
          <w:marTop w:val="0"/>
          <w:marBottom w:val="0"/>
          <w:divBdr>
            <w:top w:val="none" w:sz="0" w:space="0" w:color="auto"/>
            <w:left w:val="none" w:sz="0" w:space="0" w:color="auto"/>
            <w:bottom w:val="none" w:sz="0" w:space="0" w:color="auto"/>
            <w:right w:val="none" w:sz="0" w:space="0" w:color="auto"/>
          </w:divBdr>
        </w:div>
        <w:div w:id="826938372">
          <w:marLeft w:val="0"/>
          <w:marRight w:val="0"/>
          <w:marTop w:val="0"/>
          <w:marBottom w:val="0"/>
          <w:divBdr>
            <w:top w:val="none" w:sz="0" w:space="0" w:color="auto"/>
            <w:left w:val="none" w:sz="0" w:space="0" w:color="auto"/>
            <w:bottom w:val="none" w:sz="0" w:space="0" w:color="auto"/>
            <w:right w:val="none" w:sz="0" w:space="0" w:color="auto"/>
          </w:divBdr>
        </w:div>
        <w:div w:id="1652170795">
          <w:marLeft w:val="0"/>
          <w:marRight w:val="0"/>
          <w:marTop w:val="0"/>
          <w:marBottom w:val="0"/>
          <w:divBdr>
            <w:top w:val="none" w:sz="0" w:space="0" w:color="auto"/>
            <w:left w:val="none" w:sz="0" w:space="0" w:color="auto"/>
            <w:bottom w:val="none" w:sz="0" w:space="0" w:color="auto"/>
            <w:right w:val="none" w:sz="0" w:space="0" w:color="auto"/>
          </w:divBdr>
        </w:div>
        <w:div w:id="788009447">
          <w:marLeft w:val="0"/>
          <w:marRight w:val="0"/>
          <w:marTop w:val="0"/>
          <w:marBottom w:val="0"/>
          <w:divBdr>
            <w:top w:val="none" w:sz="0" w:space="0" w:color="auto"/>
            <w:left w:val="none" w:sz="0" w:space="0" w:color="auto"/>
            <w:bottom w:val="none" w:sz="0" w:space="0" w:color="auto"/>
            <w:right w:val="none" w:sz="0" w:space="0" w:color="auto"/>
          </w:divBdr>
        </w:div>
        <w:div w:id="1439636420">
          <w:marLeft w:val="0"/>
          <w:marRight w:val="0"/>
          <w:marTop w:val="0"/>
          <w:marBottom w:val="0"/>
          <w:divBdr>
            <w:top w:val="none" w:sz="0" w:space="0" w:color="auto"/>
            <w:left w:val="none" w:sz="0" w:space="0" w:color="auto"/>
            <w:bottom w:val="none" w:sz="0" w:space="0" w:color="auto"/>
            <w:right w:val="none" w:sz="0" w:space="0" w:color="auto"/>
          </w:divBdr>
        </w:div>
      </w:divsChild>
    </w:div>
    <w:div w:id="935403478">
      <w:bodyDiv w:val="1"/>
      <w:marLeft w:val="0"/>
      <w:marRight w:val="0"/>
      <w:marTop w:val="0"/>
      <w:marBottom w:val="0"/>
      <w:divBdr>
        <w:top w:val="none" w:sz="0" w:space="0" w:color="auto"/>
        <w:left w:val="none" w:sz="0" w:space="0" w:color="auto"/>
        <w:bottom w:val="none" w:sz="0" w:space="0" w:color="auto"/>
        <w:right w:val="none" w:sz="0" w:space="0" w:color="auto"/>
      </w:divBdr>
      <w:divsChild>
        <w:div w:id="1984121700">
          <w:marLeft w:val="0"/>
          <w:marRight w:val="0"/>
          <w:marTop w:val="0"/>
          <w:marBottom w:val="0"/>
          <w:divBdr>
            <w:top w:val="none" w:sz="0" w:space="0" w:color="auto"/>
            <w:left w:val="none" w:sz="0" w:space="0" w:color="auto"/>
            <w:bottom w:val="none" w:sz="0" w:space="0" w:color="auto"/>
            <w:right w:val="none" w:sz="0" w:space="0" w:color="auto"/>
          </w:divBdr>
        </w:div>
        <w:div w:id="1321425709">
          <w:marLeft w:val="0"/>
          <w:marRight w:val="0"/>
          <w:marTop w:val="0"/>
          <w:marBottom w:val="0"/>
          <w:divBdr>
            <w:top w:val="none" w:sz="0" w:space="0" w:color="auto"/>
            <w:left w:val="none" w:sz="0" w:space="0" w:color="auto"/>
            <w:bottom w:val="none" w:sz="0" w:space="0" w:color="auto"/>
            <w:right w:val="none" w:sz="0" w:space="0" w:color="auto"/>
          </w:divBdr>
        </w:div>
        <w:div w:id="1807042577">
          <w:marLeft w:val="0"/>
          <w:marRight w:val="0"/>
          <w:marTop w:val="0"/>
          <w:marBottom w:val="0"/>
          <w:divBdr>
            <w:top w:val="none" w:sz="0" w:space="0" w:color="auto"/>
            <w:left w:val="none" w:sz="0" w:space="0" w:color="auto"/>
            <w:bottom w:val="none" w:sz="0" w:space="0" w:color="auto"/>
            <w:right w:val="none" w:sz="0" w:space="0" w:color="auto"/>
          </w:divBdr>
        </w:div>
        <w:div w:id="1563059441">
          <w:marLeft w:val="0"/>
          <w:marRight w:val="0"/>
          <w:marTop w:val="0"/>
          <w:marBottom w:val="0"/>
          <w:divBdr>
            <w:top w:val="none" w:sz="0" w:space="0" w:color="auto"/>
            <w:left w:val="none" w:sz="0" w:space="0" w:color="auto"/>
            <w:bottom w:val="none" w:sz="0" w:space="0" w:color="auto"/>
            <w:right w:val="none" w:sz="0" w:space="0" w:color="auto"/>
          </w:divBdr>
        </w:div>
        <w:div w:id="435751161">
          <w:marLeft w:val="0"/>
          <w:marRight w:val="0"/>
          <w:marTop w:val="0"/>
          <w:marBottom w:val="0"/>
          <w:divBdr>
            <w:top w:val="none" w:sz="0" w:space="0" w:color="auto"/>
            <w:left w:val="none" w:sz="0" w:space="0" w:color="auto"/>
            <w:bottom w:val="none" w:sz="0" w:space="0" w:color="auto"/>
            <w:right w:val="none" w:sz="0" w:space="0" w:color="auto"/>
          </w:divBdr>
        </w:div>
        <w:div w:id="1014921820">
          <w:marLeft w:val="0"/>
          <w:marRight w:val="0"/>
          <w:marTop w:val="0"/>
          <w:marBottom w:val="0"/>
          <w:divBdr>
            <w:top w:val="none" w:sz="0" w:space="0" w:color="auto"/>
            <w:left w:val="none" w:sz="0" w:space="0" w:color="auto"/>
            <w:bottom w:val="none" w:sz="0" w:space="0" w:color="auto"/>
            <w:right w:val="none" w:sz="0" w:space="0" w:color="auto"/>
          </w:divBdr>
        </w:div>
        <w:div w:id="1524321977">
          <w:marLeft w:val="0"/>
          <w:marRight w:val="0"/>
          <w:marTop w:val="0"/>
          <w:marBottom w:val="0"/>
          <w:divBdr>
            <w:top w:val="none" w:sz="0" w:space="0" w:color="auto"/>
            <w:left w:val="none" w:sz="0" w:space="0" w:color="auto"/>
            <w:bottom w:val="none" w:sz="0" w:space="0" w:color="auto"/>
            <w:right w:val="none" w:sz="0" w:space="0" w:color="auto"/>
          </w:divBdr>
        </w:div>
        <w:div w:id="887885467">
          <w:marLeft w:val="0"/>
          <w:marRight w:val="0"/>
          <w:marTop w:val="0"/>
          <w:marBottom w:val="0"/>
          <w:divBdr>
            <w:top w:val="none" w:sz="0" w:space="0" w:color="auto"/>
            <w:left w:val="none" w:sz="0" w:space="0" w:color="auto"/>
            <w:bottom w:val="none" w:sz="0" w:space="0" w:color="auto"/>
            <w:right w:val="none" w:sz="0" w:space="0" w:color="auto"/>
          </w:divBdr>
        </w:div>
        <w:div w:id="1337272276">
          <w:marLeft w:val="0"/>
          <w:marRight w:val="0"/>
          <w:marTop w:val="0"/>
          <w:marBottom w:val="0"/>
          <w:divBdr>
            <w:top w:val="none" w:sz="0" w:space="0" w:color="auto"/>
            <w:left w:val="none" w:sz="0" w:space="0" w:color="auto"/>
            <w:bottom w:val="none" w:sz="0" w:space="0" w:color="auto"/>
            <w:right w:val="none" w:sz="0" w:space="0" w:color="auto"/>
          </w:divBdr>
        </w:div>
        <w:div w:id="152335150">
          <w:marLeft w:val="0"/>
          <w:marRight w:val="0"/>
          <w:marTop w:val="0"/>
          <w:marBottom w:val="0"/>
          <w:divBdr>
            <w:top w:val="none" w:sz="0" w:space="0" w:color="auto"/>
            <w:left w:val="none" w:sz="0" w:space="0" w:color="auto"/>
            <w:bottom w:val="none" w:sz="0" w:space="0" w:color="auto"/>
            <w:right w:val="none" w:sz="0" w:space="0" w:color="auto"/>
          </w:divBdr>
        </w:div>
        <w:div w:id="1589849486">
          <w:marLeft w:val="0"/>
          <w:marRight w:val="0"/>
          <w:marTop w:val="0"/>
          <w:marBottom w:val="0"/>
          <w:divBdr>
            <w:top w:val="none" w:sz="0" w:space="0" w:color="auto"/>
            <w:left w:val="none" w:sz="0" w:space="0" w:color="auto"/>
            <w:bottom w:val="none" w:sz="0" w:space="0" w:color="auto"/>
            <w:right w:val="none" w:sz="0" w:space="0" w:color="auto"/>
          </w:divBdr>
        </w:div>
      </w:divsChild>
    </w:div>
    <w:div w:id="973408858">
      <w:bodyDiv w:val="1"/>
      <w:marLeft w:val="0"/>
      <w:marRight w:val="0"/>
      <w:marTop w:val="0"/>
      <w:marBottom w:val="0"/>
      <w:divBdr>
        <w:top w:val="none" w:sz="0" w:space="0" w:color="auto"/>
        <w:left w:val="none" w:sz="0" w:space="0" w:color="auto"/>
        <w:bottom w:val="none" w:sz="0" w:space="0" w:color="auto"/>
        <w:right w:val="none" w:sz="0" w:space="0" w:color="auto"/>
      </w:divBdr>
      <w:divsChild>
        <w:div w:id="144319623">
          <w:marLeft w:val="0"/>
          <w:marRight w:val="0"/>
          <w:marTop w:val="0"/>
          <w:marBottom w:val="0"/>
          <w:divBdr>
            <w:top w:val="none" w:sz="0" w:space="0" w:color="auto"/>
            <w:left w:val="none" w:sz="0" w:space="0" w:color="auto"/>
            <w:bottom w:val="none" w:sz="0" w:space="0" w:color="auto"/>
            <w:right w:val="none" w:sz="0" w:space="0" w:color="auto"/>
          </w:divBdr>
        </w:div>
        <w:div w:id="364063597">
          <w:marLeft w:val="0"/>
          <w:marRight w:val="0"/>
          <w:marTop w:val="0"/>
          <w:marBottom w:val="0"/>
          <w:divBdr>
            <w:top w:val="none" w:sz="0" w:space="0" w:color="auto"/>
            <w:left w:val="none" w:sz="0" w:space="0" w:color="auto"/>
            <w:bottom w:val="none" w:sz="0" w:space="0" w:color="auto"/>
            <w:right w:val="none" w:sz="0" w:space="0" w:color="auto"/>
          </w:divBdr>
          <w:divsChild>
            <w:div w:id="1378118260">
              <w:marLeft w:val="0"/>
              <w:marRight w:val="0"/>
              <w:marTop w:val="0"/>
              <w:marBottom w:val="0"/>
              <w:divBdr>
                <w:top w:val="none" w:sz="0" w:space="0" w:color="auto"/>
                <w:left w:val="none" w:sz="0" w:space="0" w:color="auto"/>
                <w:bottom w:val="none" w:sz="0" w:space="0" w:color="auto"/>
                <w:right w:val="none" w:sz="0" w:space="0" w:color="auto"/>
              </w:divBdr>
            </w:div>
          </w:divsChild>
        </w:div>
        <w:div w:id="72513306">
          <w:marLeft w:val="0"/>
          <w:marRight w:val="0"/>
          <w:marTop w:val="0"/>
          <w:marBottom w:val="0"/>
          <w:divBdr>
            <w:top w:val="none" w:sz="0" w:space="0" w:color="auto"/>
            <w:left w:val="none" w:sz="0" w:space="0" w:color="auto"/>
            <w:bottom w:val="none" w:sz="0" w:space="0" w:color="auto"/>
            <w:right w:val="none" w:sz="0" w:space="0" w:color="auto"/>
          </w:divBdr>
          <w:divsChild>
            <w:div w:id="21058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91291">
      <w:bodyDiv w:val="1"/>
      <w:marLeft w:val="0"/>
      <w:marRight w:val="0"/>
      <w:marTop w:val="0"/>
      <w:marBottom w:val="0"/>
      <w:divBdr>
        <w:top w:val="none" w:sz="0" w:space="0" w:color="auto"/>
        <w:left w:val="none" w:sz="0" w:space="0" w:color="auto"/>
        <w:bottom w:val="none" w:sz="0" w:space="0" w:color="auto"/>
        <w:right w:val="none" w:sz="0" w:space="0" w:color="auto"/>
      </w:divBdr>
    </w:div>
    <w:div w:id="15637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B62C-9670-4003-971C-4D77ACBF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12860</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Kuśmirek Miłosław</dc:creator>
  <cp:lastModifiedBy>Angowski Robert</cp:lastModifiedBy>
  <cp:revision>2</cp:revision>
  <cp:lastPrinted>2018-03-27T11:50:00Z</cp:lastPrinted>
  <dcterms:created xsi:type="dcterms:W3CDTF">2019-06-18T13:25:00Z</dcterms:created>
  <dcterms:modified xsi:type="dcterms:W3CDTF">2019-06-18T13:25:00Z</dcterms:modified>
</cp:coreProperties>
</file>