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A3" w:rsidRPr="003B7CF8" w:rsidRDefault="00A84BA3" w:rsidP="00A84BA3">
      <w:pPr>
        <w:autoSpaceDE w:val="0"/>
        <w:autoSpaceDN w:val="0"/>
        <w:adjustRightInd w:val="0"/>
        <w:rPr>
          <w:sz w:val="22"/>
          <w:szCs w:val="28"/>
        </w:rPr>
      </w:pPr>
      <w:r w:rsidRPr="003B7CF8">
        <w:rPr>
          <w:sz w:val="22"/>
          <w:szCs w:val="28"/>
        </w:rPr>
        <w:t xml:space="preserve">Załącznik </w:t>
      </w:r>
      <w:r>
        <w:rPr>
          <w:sz w:val="22"/>
          <w:szCs w:val="28"/>
        </w:rPr>
        <w:t>B.31.</w:t>
      </w:r>
    </w:p>
    <w:p w:rsidR="008821A8" w:rsidRDefault="008821A8" w:rsidP="004301CA">
      <w:pPr>
        <w:autoSpaceDE w:val="0"/>
        <w:autoSpaceDN w:val="0"/>
        <w:adjustRightInd w:val="0"/>
        <w:rPr>
          <w:sz w:val="22"/>
        </w:rPr>
      </w:pPr>
    </w:p>
    <w:p w:rsidR="004301CA" w:rsidRPr="008821A8" w:rsidRDefault="004301CA" w:rsidP="008821A8">
      <w:pPr>
        <w:spacing w:after="240"/>
        <w:rPr>
          <w:b/>
          <w:sz w:val="28"/>
        </w:rPr>
      </w:pPr>
      <w:r w:rsidRPr="008821A8">
        <w:rPr>
          <w:b/>
          <w:sz w:val="28"/>
        </w:rPr>
        <w:t>LECZENIE TĘTNICZEGO NADCIŚNI</w:t>
      </w:r>
      <w:r w:rsidR="00A910DF">
        <w:rPr>
          <w:b/>
          <w:sz w:val="28"/>
        </w:rPr>
        <w:t>ENIA PŁUCNEGO (TNP)  (ICD-10  I27, I</w:t>
      </w:r>
      <w:r w:rsidRPr="008821A8">
        <w:rPr>
          <w:b/>
          <w:sz w:val="28"/>
        </w:rPr>
        <w:t>27.0)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4350"/>
        <w:gridCol w:w="5488"/>
      </w:tblGrid>
      <w:tr w:rsidR="001C600E" w:rsidRPr="004E2E0D" w:rsidTr="004E2E0D">
        <w:trPr>
          <w:trHeight w:val="48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1C600E" w:rsidRPr="004E2E0D" w:rsidTr="00BA5DA0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1C600E" w:rsidRPr="004E2E0D" w:rsidTr="00BA5DA0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A. Leczenie TNP u dorosłych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 Leczenie I rzutu</w:t>
            </w:r>
          </w:p>
          <w:p w:rsidR="001C600E" w:rsidRPr="00BA5DA0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BA5DA0">
              <w:rPr>
                <w:b/>
                <w:bCs/>
                <w:sz w:val="20"/>
                <w:szCs w:val="20"/>
              </w:rPr>
              <w:t>1.</w:t>
            </w:r>
            <w:r w:rsidR="00A202D0">
              <w:rPr>
                <w:b/>
                <w:bCs/>
                <w:sz w:val="20"/>
                <w:szCs w:val="20"/>
              </w:rPr>
              <w:t>1.</w:t>
            </w:r>
            <w:r w:rsidR="00B15091" w:rsidRPr="00BA5DA0">
              <w:rPr>
                <w:b/>
                <w:sz w:val="20"/>
                <w:szCs w:val="20"/>
              </w:rPr>
              <w:t xml:space="preserve"> L</w:t>
            </w:r>
            <w:r w:rsidRPr="00BA5DA0">
              <w:rPr>
                <w:b/>
                <w:sz w:val="20"/>
                <w:szCs w:val="20"/>
              </w:rPr>
              <w:t xml:space="preserve">eczenie I rzutu </w:t>
            </w:r>
            <w:r w:rsidRPr="00BA5DA0">
              <w:rPr>
                <w:b/>
                <w:bCs/>
                <w:sz w:val="20"/>
                <w:szCs w:val="20"/>
              </w:rPr>
              <w:t>bosentanem</w:t>
            </w:r>
          </w:p>
          <w:p w:rsidR="001C600E" w:rsidRPr="00BA5DA0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BA5DA0">
              <w:rPr>
                <w:b/>
                <w:sz w:val="20"/>
                <w:szCs w:val="20"/>
              </w:rPr>
              <w:t>1.</w:t>
            </w:r>
            <w:r w:rsidR="00A202D0">
              <w:rPr>
                <w:b/>
                <w:sz w:val="20"/>
                <w:szCs w:val="20"/>
              </w:rPr>
              <w:t>1</w:t>
            </w:r>
            <w:r w:rsidRPr="00BA5DA0">
              <w:rPr>
                <w:b/>
                <w:sz w:val="20"/>
                <w:szCs w:val="20"/>
              </w:rPr>
              <w:t xml:space="preserve">.1 Kryteria włączenia </w:t>
            </w:r>
            <w:r w:rsidR="00FA28D5">
              <w:rPr>
                <w:b/>
                <w:sz w:val="20"/>
                <w:szCs w:val="20"/>
              </w:rPr>
              <w:t>pacjentów</w:t>
            </w:r>
            <w:r w:rsidRPr="00BA5DA0">
              <w:rPr>
                <w:b/>
                <w:sz w:val="20"/>
                <w:szCs w:val="20"/>
              </w:rPr>
              <w:t xml:space="preserve"> do leczenia I rzutu bosentanem:</w:t>
            </w:r>
          </w:p>
          <w:p w:rsidR="001C600E" w:rsidRPr="00BA5DA0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A5DA0">
              <w:rPr>
                <w:sz w:val="20"/>
                <w:szCs w:val="20"/>
              </w:rPr>
              <w:t xml:space="preserve">Do </w:t>
            </w:r>
            <w:r w:rsidRPr="00BA5DA0">
              <w:rPr>
                <w:bCs/>
                <w:sz w:val="20"/>
                <w:szCs w:val="20"/>
              </w:rPr>
              <w:t>leczenia I rzutu</w:t>
            </w:r>
            <w:r w:rsidRPr="00BA5DA0">
              <w:rPr>
                <w:sz w:val="20"/>
                <w:szCs w:val="20"/>
              </w:rPr>
              <w:t xml:space="preserve"> bosentanem w ramach programu kwalifikują się </w:t>
            </w:r>
            <w:r w:rsidR="005261E5" w:rsidRPr="00610AEA">
              <w:rPr>
                <w:sz w:val="20"/>
                <w:szCs w:val="20"/>
              </w:rPr>
              <w:t xml:space="preserve">pacjenci </w:t>
            </w:r>
            <w:r w:rsidRPr="00610AEA">
              <w:rPr>
                <w:sz w:val="20"/>
                <w:szCs w:val="20"/>
              </w:rPr>
              <w:t xml:space="preserve">spełniający </w:t>
            </w:r>
            <w:r w:rsidR="003A6903" w:rsidRPr="00610AEA">
              <w:rPr>
                <w:sz w:val="20"/>
                <w:szCs w:val="20"/>
              </w:rPr>
              <w:t xml:space="preserve">łącznie poniższe </w:t>
            </w:r>
            <w:r w:rsidRPr="00610AEA">
              <w:rPr>
                <w:sz w:val="20"/>
                <w:szCs w:val="20"/>
              </w:rPr>
              <w:t xml:space="preserve"> </w:t>
            </w:r>
            <w:r w:rsidRPr="00BA5DA0">
              <w:rPr>
                <w:sz w:val="20"/>
                <w:szCs w:val="20"/>
              </w:rPr>
              <w:t>kryteria:</w:t>
            </w:r>
          </w:p>
          <w:p w:rsidR="001C600E" w:rsidRPr="00BA5DA0" w:rsidRDefault="005261E5" w:rsidP="00AE262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pacjenci </w:t>
            </w:r>
            <w:r w:rsidR="001C600E" w:rsidRPr="00BA5DA0">
              <w:rPr>
                <w:sz w:val="20"/>
                <w:szCs w:val="20"/>
              </w:rPr>
              <w:t xml:space="preserve"> w III klasie czynnościowej według WHO;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A5DA0">
              <w:rPr>
                <w:sz w:val="20"/>
                <w:szCs w:val="20"/>
              </w:rPr>
              <w:t>zdiagnozowane</w:t>
            </w:r>
            <w:r w:rsidRPr="004E2E0D">
              <w:rPr>
                <w:sz w:val="20"/>
                <w:szCs w:val="20"/>
              </w:rPr>
              <w:t xml:space="preserve"> oraz udokumentowane tętnicze nadciśnienie płucne</w:t>
            </w:r>
            <w:r w:rsidR="007D762E"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sz w:val="20"/>
                <w:szCs w:val="20"/>
              </w:rPr>
              <w:t xml:space="preserve"> </w:t>
            </w:r>
            <w:r w:rsidR="00C51A83" w:rsidRPr="004E2E0D">
              <w:rPr>
                <w:sz w:val="20"/>
                <w:szCs w:val="20"/>
              </w:rPr>
              <w:t>(wg. aktualnej klasyfikacji ESC/ERS)</w:t>
            </w:r>
            <w:r w:rsidR="00732C93" w:rsidRPr="004E2E0D">
              <w:rPr>
                <w:sz w:val="20"/>
                <w:szCs w:val="20"/>
              </w:rPr>
              <w:t xml:space="preserve"> z wyjątkiem pierwotnego (idiopatycznego i dziedzicznego) TNP oraz TNP powstałego w przebiegu twardziny układowej bez znaczących zmian płucnych</w:t>
            </w:r>
            <w:r w:rsidRPr="004E2E0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wiek 18 lat i powyżej</w:t>
            </w:r>
            <w:r w:rsidR="00BA5DA0">
              <w:rPr>
                <w:sz w:val="20"/>
                <w:szCs w:val="20"/>
              </w:rPr>
              <w:t>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A202D0">
              <w:rPr>
                <w:b/>
                <w:bCs/>
                <w:sz w:val="20"/>
                <w:szCs w:val="20"/>
              </w:rPr>
              <w:t>1</w:t>
            </w:r>
            <w:r w:rsidRPr="004E2E0D">
              <w:rPr>
                <w:b/>
                <w:bCs/>
                <w:sz w:val="20"/>
                <w:szCs w:val="20"/>
              </w:rPr>
              <w:t>.2 Określenie czasu leczenia bosentanem w ramach leczenia I</w:t>
            </w:r>
            <w:r w:rsidR="00A202D0">
              <w:rPr>
                <w:b/>
                <w:bCs/>
                <w:sz w:val="20"/>
                <w:szCs w:val="20"/>
              </w:rPr>
              <w:t> </w:t>
            </w:r>
            <w:r w:rsidRPr="004E2E0D">
              <w:rPr>
                <w:b/>
                <w:bCs/>
                <w:sz w:val="20"/>
                <w:szCs w:val="20"/>
              </w:rPr>
              <w:t>rzutu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Czas leczenia bosentanem w programie określa lekarz na podstawie kryteriów wyłączenia z programu.</w:t>
            </w:r>
          </w:p>
          <w:p w:rsidR="001C600E" w:rsidRDefault="00A202D0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.3. Kryteria wyłączenia </w:t>
            </w:r>
            <w:r>
              <w:rPr>
                <w:b/>
                <w:bCs/>
                <w:sz w:val="20"/>
                <w:szCs w:val="20"/>
              </w:rPr>
              <w:t>z leczenia I rzutu bosentanem u </w:t>
            </w:r>
            <w:r w:rsidR="00BA09EC">
              <w:rPr>
                <w:b/>
                <w:bCs/>
                <w:sz w:val="20"/>
                <w:szCs w:val="20"/>
              </w:rPr>
              <w:t>dorosłych</w:t>
            </w:r>
          </w:p>
          <w:p w:rsidR="00375953" w:rsidRPr="00375953" w:rsidRDefault="009A7CAB" w:rsidP="00375953">
            <w:pPr>
              <w:pStyle w:val="Default"/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0A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 zostaje wyłączony z leczenia</w:t>
            </w:r>
            <w:r w:rsidRPr="00610AEA">
              <w:rPr>
                <w:color w:val="auto"/>
              </w:rPr>
              <w:t xml:space="preserve"> </w:t>
            </w:r>
            <w:r w:rsidRPr="00610A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rzutu bosentanem  </w:t>
            </w:r>
            <w:r w:rsidRPr="00610A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 przypadku wystąpienia co najmniej jednego z poniższych kryteriów: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nieskuteczność terapii;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niewydolność wątroby klasa Child-Pugh B lub C;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Aktywność AspAT lub AlAT &gt; 3 razy wartość górnej granicy normy ( GGN ) przed rozpoczęciem leczenia lub aktywność AspAT lub AlAT &gt; 8 razy GGN w trakcie leczenia;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przebyty udar mózgu;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zawał mięśnia sercowego;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ciśnienie tętnicze krwi poniżej 90/50 mmHg;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jednoczesne stosowanie leków przeciwgrzybiczych, przeciwwirusowych, immunosupresyjnych, glibenklamidu, rifampicyny;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nadciśnienie płucne o innej etiologii niż podano w kryteriach włączenia;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 strony świadczeniobiorcy w zakresie prowadzenia terapii oraz okresowej kontroli;</w:t>
            </w:r>
          </w:p>
          <w:p w:rsidR="004E2E0D" w:rsidRPr="00BA5DA0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ciąża lub laktacja.</w:t>
            </w:r>
          </w:p>
          <w:p w:rsidR="004E2E0D" w:rsidRPr="004E2E0D" w:rsidRDefault="004E2E0D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:rsidR="00A8669E" w:rsidRPr="004E2E0D" w:rsidRDefault="00A8669E" w:rsidP="00375953">
            <w:pPr>
              <w:pStyle w:val="Default"/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0E" w:rsidRPr="004E2E0D" w:rsidRDefault="00C17A2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 Leczenie II rzutu</w:t>
            </w:r>
          </w:p>
          <w:p w:rsidR="001C600E" w:rsidRPr="004E2E0D" w:rsidRDefault="00C17A2E" w:rsidP="00BA5DA0">
            <w:pPr>
              <w:autoSpaceDE w:val="0"/>
              <w:autoSpaceDN w:val="0"/>
              <w:adjustRightInd w:val="0"/>
              <w:spacing w:before="240" w:line="276" w:lineRule="auto"/>
              <w:ind w:left="284" w:hanging="284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2.1. Kryteria kwalifikacji do leczenia</w:t>
            </w:r>
            <w:r w:rsidRPr="004E2E0D">
              <w:rPr>
                <w:sz w:val="20"/>
                <w:szCs w:val="20"/>
              </w:rPr>
              <w:t xml:space="preserve"> </w:t>
            </w:r>
            <w:r w:rsidR="00D559E3">
              <w:rPr>
                <w:b/>
                <w:bCs/>
                <w:sz w:val="20"/>
                <w:szCs w:val="20"/>
              </w:rPr>
              <w:t>II rzutu u </w:t>
            </w:r>
            <w:r w:rsidRPr="004E2E0D">
              <w:rPr>
                <w:b/>
                <w:bCs/>
                <w:sz w:val="20"/>
                <w:szCs w:val="20"/>
              </w:rPr>
              <w:t>świadczeniobiorców w wieku 18 lat i powyżej</w:t>
            </w:r>
          </w:p>
          <w:p w:rsidR="001C600E" w:rsidRPr="004E2E0D" w:rsidRDefault="00C17A2E" w:rsidP="00BA5DA0">
            <w:pPr>
              <w:autoSpaceDE w:val="0"/>
              <w:autoSpaceDN w:val="0"/>
              <w:adjustRightInd w:val="0"/>
              <w:spacing w:before="240" w:line="276" w:lineRule="auto"/>
              <w:ind w:left="426" w:hanging="426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2.1.1</w:t>
            </w:r>
            <w:r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Do lecze</w:t>
            </w:r>
            <w:r w:rsidR="001C600E" w:rsidRPr="004E2E0D">
              <w:rPr>
                <w:b/>
                <w:bCs/>
                <w:sz w:val="20"/>
                <w:szCs w:val="20"/>
              </w:rPr>
              <w:t>nia II rzutu bosentanem, iloprostem,</w:t>
            </w:r>
            <w:r w:rsidR="00FB11F9" w:rsidRPr="004E2E0D">
              <w:rPr>
                <w:b/>
                <w:bCs/>
                <w:sz w:val="20"/>
                <w:szCs w:val="20"/>
              </w:rPr>
              <w:t xml:space="preserve"> </w:t>
            </w:r>
            <w:r w:rsidR="001C600E" w:rsidRPr="004E2E0D">
              <w:rPr>
                <w:b/>
                <w:bCs/>
                <w:sz w:val="20"/>
                <w:szCs w:val="20"/>
              </w:rPr>
              <w:t>trep</w:t>
            </w:r>
            <w:r w:rsidR="001D26CC">
              <w:rPr>
                <w:b/>
                <w:bCs/>
                <w:sz w:val="20"/>
                <w:szCs w:val="20"/>
              </w:rPr>
              <w:t>r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ostynilem oraz iloprostem wraz z sildenafilem </w:t>
            </w:r>
            <w:r w:rsidR="001C600E" w:rsidRPr="004E2E0D">
              <w:rPr>
                <w:sz w:val="20"/>
                <w:szCs w:val="20"/>
              </w:rPr>
              <w:t xml:space="preserve">w </w:t>
            </w:r>
            <w:r w:rsidR="00D559E3">
              <w:rPr>
                <w:sz w:val="20"/>
                <w:szCs w:val="20"/>
              </w:rPr>
              <w:t> </w:t>
            </w:r>
            <w:r w:rsidR="001C600E" w:rsidRPr="004E2E0D">
              <w:rPr>
                <w:sz w:val="20"/>
                <w:szCs w:val="20"/>
              </w:rPr>
              <w:t>ramach programu kwal</w:t>
            </w:r>
            <w:r w:rsidR="00AF18C0">
              <w:rPr>
                <w:sz w:val="20"/>
                <w:szCs w:val="20"/>
              </w:rPr>
              <w:t xml:space="preserve">ifikują się pacjenci </w:t>
            </w:r>
            <w:r w:rsidR="00D559E3">
              <w:rPr>
                <w:sz w:val="20"/>
                <w:szCs w:val="20"/>
              </w:rPr>
              <w:t>z </w:t>
            </w:r>
            <w:r w:rsidR="001C600E" w:rsidRPr="004E2E0D">
              <w:rPr>
                <w:sz w:val="20"/>
                <w:szCs w:val="20"/>
              </w:rPr>
              <w:t>tętniczym nadciśnieniem płucnym: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po nieskutecznym leczeniu I rzutu </w:t>
            </w:r>
          </w:p>
          <w:p w:rsidR="001C600E" w:rsidRPr="004E2E0D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lub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lastRenderedPageBreak/>
              <w:t>będący w IV klasie czynnościowej</w:t>
            </w:r>
            <w:r w:rsidR="00BA5DA0">
              <w:rPr>
                <w:sz w:val="20"/>
                <w:szCs w:val="20"/>
              </w:rPr>
              <w:t xml:space="preserve"> w momencie rozpoznania choroby</w:t>
            </w:r>
            <w:r w:rsidRPr="004E2E0D">
              <w:rPr>
                <w:sz w:val="20"/>
                <w:szCs w:val="20"/>
              </w:rPr>
              <w:t>.</w:t>
            </w:r>
          </w:p>
          <w:p w:rsidR="00F363F5" w:rsidRPr="004E2E0D" w:rsidRDefault="00F363F5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2.2. Określenie czasu leczenia w programie</w:t>
            </w:r>
          </w:p>
          <w:p w:rsidR="00F363F5" w:rsidRPr="004E2E0D" w:rsidRDefault="00F363F5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Czas leczenia świadczeniobio</w:t>
            </w:r>
            <w:r w:rsidR="00E4646B">
              <w:rPr>
                <w:sz w:val="20"/>
                <w:szCs w:val="20"/>
              </w:rPr>
              <w:t>rcy w ramach terapii II rzutu w </w:t>
            </w:r>
            <w:r w:rsidRPr="004E2E0D">
              <w:rPr>
                <w:sz w:val="20"/>
                <w:szCs w:val="20"/>
              </w:rPr>
              <w:t>programie określa lekarz na podstawie kryteriów wyłączenia.</w:t>
            </w:r>
            <w:r w:rsidR="001426AF" w:rsidRPr="004E2E0D">
              <w:rPr>
                <w:sz w:val="20"/>
                <w:szCs w:val="20"/>
              </w:rPr>
              <w:t xml:space="preserve"> </w:t>
            </w:r>
          </w:p>
          <w:p w:rsidR="002E3866" w:rsidRDefault="002E3866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2.3. Kryteria wyłączenia z</w:t>
            </w:r>
            <w:r w:rsidR="00D559E3">
              <w:rPr>
                <w:b/>
                <w:bCs/>
                <w:sz w:val="20"/>
                <w:szCs w:val="20"/>
              </w:rPr>
              <w:t xml:space="preserve"> leczenia II rzutu iloprostem </w:t>
            </w:r>
          </w:p>
          <w:p w:rsidR="00244A42" w:rsidRPr="00401FFC" w:rsidRDefault="00792E88" w:rsidP="00244A42">
            <w:pPr>
              <w:pStyle w:val="Default"/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1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 zostaje wyłączony z leczenia</w:t>
            </w:r>
            <w:r w:rsidRPr="00401FFC">
              <w:rPr>
                <w:color w:val="auto"/>
              </w:rPr>
              <w:t xml:space="preserve"> </w:t>
            </w:r>
            <w:r w:rsidRPr="00401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 rzutu iloprostem  w przypadku wystąpienia co najmniej jednego z poniższych kryteriów: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choroba niedokrwienna serca lub niestabilna dławica piersiowa;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zawał mięśnia sercowego</w:t>
            </w:r>
            <w:r w:rsidR="00D559E3">
              <w:rPr>
                <w:sz w:val="20"/>
                <w:szCs w:val="20"/>
              </w:rPr>
              <w:t xml:space="preserve"> przebyty w okresie ostatnich 6 </w:t>
            </w:r>
            <w:r w:rsidRPr="004E2E0D">
              <w:rPr>
                <w:sz w:val="20"/>
                <w:szCs w:val="20"/>
              </w:rPr>
              <w:t>miesięcy;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niewyrównana niewydolność serca</w:t>
            </w:r>
            <w:r w:rsidR="00BC2EBE" w:rsidRPr="004E2E0D">
              <w:rPr>
                <w:sz w:val="20"/>
                <w:szCs w:val="20"/>
              </w:rPr>
              <w:t xml:space="preserve">, </w:t>
            </w:r>
            <w:r w:rsidRPr="004E2E0D">
              <w:rPr>
                <w:sz w:val="20"/>
                <w:szCs w:val="20"/>
              </w:rPr>
              <w:t xml:space="preserve"> niekontrolowana przez lekarza;</w:t>
            </w:r>
          </w:p>
          <w:p w:rsidR="002E3866" w:rsidRPr="004E2E0D" w:rsidRDefault="00A8669E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ciężkie zaburzenia rytmu serca;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zaburzenia naczyniowo-mózgowe (np. przejściowe niedokrwienie mózgu, udar) przebyte w ciągu ostatnich 3 miesięcy;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wrodzone wady zastawkowe z istotnymi klinicznie zaburzeniami czynności mięśnia sercowego niezwiązane z nadciśnieniem płucnym;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stany, w których wpływ iloprostu na płytki krwi może zwiększyć ryzyko krwotoku (np.: aktywne wrzody trawienne,</w:t>
            </w:r>
            <w:r w:rsidR="00BC2EBE"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sz w:val="20"/>
                <w:szCs w:val="20"/>
              </w:rPr>
              <w:t>uraz, krwotok wewnątrzczaszkowy);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nadciśnienie płucne o innej etiologii niż podano w kryteriach </w:t>
            </w:r>
            <w:r w:rsidR="00D279F1" w:rsidRPr="00401FFC">
              <w:rPr>
                <w:sz w:val="20"/>
                <w:szCs w:val="20"/>
              </w:rPr>
              <w:t>kwalifikacji</w:t>
            </w:r>
            <w:r w:rsidRPr="00401FFC">
              <w:rPr>
                <w:sz w:val="20"/>
                <w:szCs w:val="20"/>
              </w:rPr>
              <w:t>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 strony świadczeniobiorcy w zakresie prowadzenia terapii oraz okresowej kontroli;</w:t>
            </w:r>
          </w:p>
          <w:p w:rsidR="002E3866" w:rsidRPr="00401FFC" w:rsidRDefault="00D279F1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lastRenderedPageBreak/>
              <w:t>ciąża</w:t>
            </w:r>
            <w:r w:rsidR="00244A42" w:rsidRPr="00401FFC">
              <w:rPr>
                <w:sz w:val="20"/>
                <w:szCs w:val="20"/>
              </w:rPr>
              <w:t xml:space="preserve"> – do decyzji lekarza prowadzącego</w:t>
            </w:r>
            <w:r w:rsidR="00E73B2D" w:rsidRPr="00401FFC">
              <w:rPr>
                <w:sz w:val="20"/>
                <w:szCs w:val="20"/>
              </w:rPr>
              <w:t>;</w:t>
            </w:r>
          </w:p>
          <w:p w:rsidR="001C600E" w:rsidRPr="00401FFC" w:rsidRDefault="00244A42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>laktacja</w:t>
            </w:r>
            <w:r w:rsidR="00E73B2D" w:rsidRPr="00401FFC">
              <w:rPr>
                <w:sz w:val="20"/>
                <w:szCs w:val="20"/>
              </w:rPr>
              <w:t>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2.4 Kryteria wyłączenia z leczenia II rzutu treprostinilem</w:t>
            </w:r>
            <w:r w:rsidR="00A8669E">
              <w:rPr>
                <w:b/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nadciśnienie płucne związane z </w:t>
            </w:r>
            <w:r w:rsidR="00B9658D" w:rsidRPr="004E2E0D">
              <w:rPr>
                <w:sz w:val="20"/>
                <w:szCs w:val="20"/>
              </w:rPr>
              <w:t xml:space="preserve">potwierdzoną </w:t>
            </w:r>
            <w:r w:rsidRPr="004E2E0D">
              <w:rPr>
                <w:sz w:val="20"/>
                <w:szCs w:val="20"/>
              </w:rPr>
              <w:t>chorobą zarostową żył</w:t>
            </w:r>
            <w:r w:rsidR="00B9658D" w:rsidRPr="004E2E0D">
              <w:rPr>
                <w:sz w:val="20"/>
                <w:szCs w:val="20"/>
              </w:rPr>
              <w:t xml:space="preserve"> płucnych</w:t>
            </w:r>
            <w:r w:rsidRPr="004E2E0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zastoinowa niewydolność serca spowodowana ciężkim zaburzeniem czynności lewej komory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niewydolność wątroby klasa Child-Pugh C;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czynna choroba wrzodowa przewodu pokarmowego, krwawienie śródczaszkowe, zranienie, inny rodzaj krwawienia;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wrodzone lub nabyte wady zastawkowe serca z klinicznie znaczącymi zaburzeniami czynności mięśnia sercowego niezwiązanymi z nadciśnieniem płucnym;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postać choroby niedokrwiennej serca lub niestabilna postać dławicy piersiowej;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zawał mięśnia sercowego</w:t>
            </w:r>
            <w:r w:rsidR="00244A42">
              <w:rPr>
                <w:sz w:val="20"/>
                <w:szCs w:val="20"/>
              </w:rPr>
              <w:t xml:space="preserve"> przebyty w okresie ostatnich 6 </w:t>
            </w:r>
            <w:r w:rsidRPr="004E2E0D">
              <w:rPr>
                <w:sz w:val="20"/>
                <w:szCs w:val="20"/>
              </w:rPr>
              <w:t>miesięcy;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nieleczona niewydolność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ciężkie zaburzenia rytmu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ciśnienie tętnicze krwi poniżej 90/50 mmHg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epizody naczyniowo-mózgowe (np. przejściowe niedokrwienie mózgu, udar) w ciągu ostatnich 3 miesięcy;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nadciśnienie płucne o innej etiologii niż podano w kryteriach włączenia;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 strony świadczeniobiorcy w zakresie prowadzenia terapii oraz okresowej kontroli;</w:t>
            </w:r>
          </w:p>
          <w:p w:rsidR="005B1787" w:rsidRPr="00401FFC" w:rsidRDefault="003C2AF8" w:rsidP="005B17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 xml:space="preserve"> </w:t>
            </w:r>
            <w:r w:rsidR="00FA28D5" w:rsidRPr="00401FFC">
              <w:rPr>
                <w:sz w:val="20"/>
                <w:szCs w:val="20"/>
              </w:rPr>
              <w:t>ciąża</w:t>
            </w:r>
            <w:r w:rsidR="005B1787" w:rsidRPr="00401FFC">
              <w:rPr>
                <w:sz w:val="20"/>
                <w:szCs w:val="20"/>
              </w:rPr>
              <w:t xml:space="preserve"> – do decyzji lekarza prowadzącego;</w:t>
            </w:r>
          </w:p>
          <w:p w:rsidR="005B1787" w:rsidRPr="00401FFC" w:rsidRDefault="005B1787" w:rsidP="005B17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>laktacja.</w:t>
            </w:r>
          </w:p>
          <w:p w:rsidR="001C600E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lastRenderedPageBreak/>
              <w:t>2.5 Kryteria wyłączenia z l</w:t>
            </w:r>
            <w:r w:rsidR="00D559E3">
              <w:rPr>
                <w:b/>
                <w:sz w:val="20"/>
                <w:szCs w:val="20"/>
              </w:rPr>
              <w:t xml:space="preserve">eczenia II rzutu </w:t>
            </w:r>
            <w:r w:rsidRPr="004E2E0D">
              <w:rPr>
                <w:b/>
                <w:sz w:val="20"/>
                <w:szCs w:val="20"/>
              </w:rPr>
              <w:t>bosentanem</w:t>
            </w:r>
            <w:r w:rsidR="008B34AB">
              <w:rPr>
                <w:b/>
                <w:sz w:val="20"/>
                <w:szCs w:val="20"/>
              </w:rPr>
              <w:t xml:space="preserve"> </w:t>
            </w:r>
            <w:r w:rsidRPr="00BA5DA0">
              <w:rPr>
                <w:sz w:val="20"/>
                <w:szCs w:val="20"/>
              </w:rPr>
              <w:t>określono w pkt 1.1.3</w:t>
            </w:r>
            <w:r w:rsidR="008B34AB">
              <w:rPr>
                <w:sz w:val="20"/>
                <w:szCs w:val="20"/>
              </w:rPr>
              <w:t>.</w:t>
            </w:r>
          </w:p>
          <w:p w:rsidR="00AD23AB" w:rsidRPr="008049E4" w:rsidRDefault="00AD23AB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8049E4">
              <w:rPr>
                <w:b/>
                <w:sz w:val="20"/>
                <w:szCs w:val="20"/>
              </w:rPr>
              <w:t xml:space="preserve">2.6. Kryteria </w:t>
            </w:r>
            <w:r w:rsidR="008049E4" w:rsidRPr="008049E4">
              <w:rPr>
                <w:b/>
                <w:sz w:val="20"/>
                <w:szCs w:val="20"/>
              </w:rPr>
              <w:t>zmiany terapii u pacjentów, u których wcześniej</w:t>
            </w:r>
            <w:r w:rsidR="002F72AE">
              <w:rPr>
                <w:b/>
                <w:sz w:val="20"/>
                <w:szCs w:val="20"/>
              </w:rPr>
              <w:t>,</w:t>
            </w:r>
            <w:r w:rsidR="008049E4" w:rsidRPr="008049E4">
              <w:rPr>
                <w:b/>
                <w:sz w:val="20"/>
                <w:szCs w:val="20"/>
              </w:rPr>
              <w:t xml:space="preserve"> w ramach programu</w:t>
            </w:r>
            <w:r w:rsidR="002F72AE">
              <w:rPr>
                <w:b/>
                <w:sz w:val="20"/>
                <w:szCs w:val="20"/>
              </w:rPr>
              <w:t>,</w:t>
            </w:r>
            <w:r w:rsidR="008049E4" w:rsidRPr="008049E4">
              <w:t xml:space="preserve"> </w:t>
            </w:r>
            <w:r w:rsidR="008049E4" w:rsidRPr="008049E4">
              <w:rPr>
                <w:b/>
                <w:sz w:val="20"/>
                <w:szCs w:val="20"/>
              </w:rPr>
              <w:t xml:space="preserve">stosowano leczenie II rzutu ambrisentanem </w:t>
            </w:r>
            <w:r w:rsidRPr="008049E4">
              <w:rPr>
                <w:b/>
                <w:sz w:val="20"/>
                <w:szCs w:val="20"/>
              </w:rPr>
              <w:t>:</w:t>
            </w:r>
          </w:p>
          <w:p w:rsidR="001C600E" w:rsidRPr="00612872" w:rsidRDefault="001C600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612872">
              <w:rPr>
                <w:b/>
                <w:sz w:val="20"/>
                <w:szCs w:val="20"/>
              </w:rPr>
              <w:t>2.</w:t>
            </w:r>
            <w:r w:rsidR="00627542" w:rsidRPr="00612872">
              <w:rPr>
                <w:b/>
                <w:sz w:val="20"/>
                <w:szCs w:val="20"/>
              </w:rPr>
              <w:t>6.1</w:t>
            </w:r>
            <w:r w:rsidRPr="00612872">
              <w:rPr>
                <w:b/>
                <w:sz w:val="20"/>
                <w:szCs w:val="20"/>
              </w:rPr>
              <w:t>.</w:t>
            </w:r>
            <w:r w:rsidRPr="00612872">
              <w:rPr>
                <w:sz w:val="20"/>
                <w:szCs w:val="20"/>
              </w:rPr>
              <w:t xml:space="preserve"> W przypadku utrzym</w:t>
            </w:r>
            <w:r w:rsidR="00D31AE9" w:rsidRPr="00612872">
              <w:rPr>
                <w:sz w:val="20"/>
                <w:szCs w:val="20"/>
              </w:rPr>
              <w:t>ywania się stabilnej poprawy po </w:t>
            </w:r>
            <w:r w:rsidRPr="00612872">
              <w:rPr>
                <w:sz w:val="20"/>
                <w:szCs w:val="20"/>
              </w:rPr>
              <w:t>leczeniu ambrisentanem dop</w:t>
            </w:r>
            <w:r w:rsidR="00D31AE9" w:rsidRPr="00612872">
              <w:rPr>
                <w:sz w:val="20"/>
                <w:szCs w:val="20"/>
              </w:rPr>
              <w:t>uszcza się możliwość powrotu do </w:t>
            </w:r>
            <w:r w:rsidR="00B2463D" w:rsidRPr="00612872">
              <w:rPr>
                <w:sz w:val="20"/>
                <w:szCs w:val="20"/>
              </w:rPr>
              <w:t>terapii I</w:t>
            </w:r>
            <w:r w:rsidRPr="00612872">
              <w:rPr>
                <w:sz w:val="20"/>
                <w:szCs w:val="20"/>
              </w:rPr>
              <w:t xml:space="preserve"> rzutu określonych w programie po spełnieniu kryteriów włączenia do terapii I rzutu z zastrzeżeniem: </w:t>
            </w:r>
          </w:p>
          <w:p w:rsidR="00B15091" w:rsidRPr="00612872" w:rsidRDefault="001C600E" w:rsidP="00AE262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2872">
              <w:rPr>
                <w:sz w:val="20"/>
                <w:szCs w:val="20"/>
              </w:rPr>
              <w:t>w uzasadnionych klinicznie przypadkach nie jest wymagane ponowne wykonanie cewnikowania serca, na przykład cewnikowanie serca nie jest konieczne, jeżeli od ostatniego badania minęło mniej niż 3 miesiące</w:t>
            </w:r>
            <w:r w:rsidR="00B15091" w:rsidRPr="00612872">
              <w:rPr>
                <w:sz w:val="20"/>
                <w:szCs w:val="20"/>
              </w:rPr>
              <w:t xml:space="preserve"> </w:t>
            </w:r>
          </w:p>
          <w:p w:rsidR="001C600E" w:rsidRPr="00612872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612872">
              <w:rPr>
                <w:sz w:val="20"/>
                <w:szCs w:val="20"/>
              </w:rPr>
              <w:t>lub</w:t>
            </w:r>
          </w:p>
          <w:p w:rsidR="001C600E" w:rsidRPr="00612872" w:rsidRDefault="001C600E" w:rsidP="00AE262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2872">
              <w:rPr>
                <w:sz w:val="20"/>
                <w:szCs w:val="20"/>
              </w:rPr>
              <w:t>w przypadku gdy doty</w:t>
            </w:r>
            <w:bookmarkStart w:id="0" w:name="_GoBack"/>
            <w:bookmarkEnd w:id="0"/>
            <w:r w:rsidRPr="00612872">
              <w:rPr>
                <w:sz w:val="20"/>
                <w:szCs w:val="20"/>
              </w:rPr>
              <w:t>chczasowe leczenie ambrisentanem doprowadziło do poprawy stanu świadczeniobiorcy do II klasy czynnościowej wg WHO świadczeniobiorca może zostać zakwalifikowany do terapii I rzutu określonej  w programie  lekowym  leczenia tętniczego nadciśnienia płucnego</w:t>
            </w:r>
            <w:r w:rsidR="00FB11F9" w:rsidRPr="00612872">
              <w:rPr>
                <w:sz w:val="20"/>
                <w:szCs w:val="20"/>
              </w:rPr>
              <w:t>.</w:t>
            </w:r>
            <w:r w:rsidRPr="00612872">
              <w:rPr>
                <w:sz w:val="20"/>
                <w:szCs w:val="20"/>
              </w:rPr>
              <w:t xml:space="preserve"> </w:t>
            </w:r>
          </w:p>
          <w:p w:rsidR="001C600E" w:rsidRPr="006128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2872">
              <w:rPr>
                <w:sz w:val="20"/>
                <w:szCs w:val="20"/>
              </w:rPr>
              <w:t xml:space="preserve">Oceny stabilnej poprawy dokonuje lekarz prowadzący na podstawie wyników badań wykonanych w ramach monitorowania leczenia . Podjęcie decyzji o powrocie do terapii I rzutu należy do lekarza prowadzącego. </w:t>
            </w:r>
          </w:p>
          <w:p w:rsidR="001C600E" w:rsidRPr="00612872" w:rsidRDefault="001C600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612872">
              <w:rPr>
                <w:sz w:val="20"/>
                <w:szCs w:val="20"/>
              </w:rPr>
              <w:t xml:space="preserve"> </w:t>
            </w:r>
            <w:r w:rsidRPr="00612872">
              <w:rPr>
                <w:b/>
                <w:sz w:val="20"/>
                <w:szCs w:val="20"/>
              </w:rPr>
              <w:t>2.</w:t>
            </w:r>
            <w:r w:rsidR="00627542" w:rsidRPr="00612872">
              <w:rPr>
                <w:b/>
                <w:sz w:val="20"/>
                <w:szCs w:val="20"/>
              </w:rPr>
              <w:t>6.2</w:t>
            </w:r>
            <w:r w:rsidRPr="00612872">
              <w:rPr>
                <w:b/>
                <w:sz w:val="20"/>
                <w:szCs w:val="20"/>
              </w:rPr>
              <w:t>.</w:t>
            </w:r>
            <w:r w:rsidRPr="00612872">
              <w:rPr>
                <w:sz w:val="20"/>
                <w:szCs w:val="20"/>
              </w:rPr>
              <w:t xml:space="preserve"> W przypadku niemożności stosowania u świadczeniobiorcy ambrisentanu lub braku osiągnięcia skuteczności klinicznej dopuszcza się  możliwość zastosowania innej terapii II rzutu określonej w programie po sp</w:t>
            </w:r>
            <w:r w:rsidR="00D51E0C" w:rsidRPr="00612872">
              <w:rPr>
                <w:sz w:val="20"/>
                <w:szCs w:val="20"/>
              </w:rPr>
              <w:t>ełnieniu kryteriów włączenia do </w:t>
            </w:r>
            <w:r w:rsidRPr="00612872">
              <w:rPr>
                <w:sz w:val="20"/>
                <w:szCs w:val="20"/>
              </w:rPr>
              <w:t xml:space="preserve">terapii II rzutu  z zastrzeżeniem - w uzasadnionych klinicznie </w:t>
            </w:r>
            <w:r w:rsidRPr="00612872">
              <w:rPr>
                <w:sz w:val="20"/>
                <w:szCs w:val="20"/>
              </w:rPr>
              <w:lastRenderedPageBreak/>
              <w:t>przypadkach nie jest wymagane ponow</w:t>
            </w:r>
            <w:r w:rsidR="00A8669E" w:rsidRPr="00612872">
              <w:rPr>
                <w:sz w:val="20"/>
                <w:szCs w:val="20"/>
              </w:rPr>
              <w:t>ne wykonanie cewnikowania serca.</w:t>
            </w:r>
          </w:p>
          <w:p w:rsidR="001C600E" w:rsidRPr="006128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2872">
              <w:rPr>
                <w:sz w:val="20"/>
                <w:szCs w:val="20"/>
              </w:rPr>
              <w:t xml:space="preserve">Oceny niemożności stosowania u świadczeniobiorcy ambrisentanu lub braku osiągnięcia skuteczności klinicznej dokonuje lekarz prowadzący na podstawie wyników badań wykonanych w ramach monitorowania leczenia.  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B. Leczenie TNP u dzieci i kontynuacja ich leczenia po 18 roku życia</w:t>
            </w:r>
          </w:p>
          <w:p w:rsidR="008F7ECE" w:rsidRDefault="008F7ECE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 xml:space="preserve">1. </w:t>
            </w:r>
            <w:r w:rsidR="006E43D9" w:rsidRPr="004E2E0D">
              <w:rPr>
                <w:b/>
                <w:bCs/>
                <w:sz w:val="20"/>
                <w:szCs w:val="20"/>
              </w:rPr>
              <w:t>Leczenie dzieci  bosentanem</w:t>
            </w:r>
          </w:p>
          <w:p w:rsidR="00261ED8" w:rsidRPr="004E2E0D" w:rsidRDefault="00261ED8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C600E" w:rsidRPr="004E2E0D" w:rsidRDefault="008F7ECE" w:rsidP="00A866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1. Kryteria kwalifikacji </w:t>
            </w:r>
            <w:r w:rsidR="001C600E" w:rsidRPr="00A8669E">
              <w:rPr>
                <w:b/>
                <w:bCs/>
                <w:sz w:val="20"/>
                <w:szCs w:val="20"/>
              </w:rPr>
              <w:t xml:space="preserve">dzieci </w:t>
            </w:r>
            <w:r w:rsidR="001C600E" w:rsidRPr="00A8669E">
              <w:rPr>
                <w:b/>
                <w:sz w:val="20"/>
                <w:szCs w:val="20"/>
              </w:rPr>
              <w:t>do leczenia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 bosentanem</w:t>
            </w:r>
            <w:r w:rsidR="00152609">
              <w:rPr>
                <w:b/>
                <w:bCs/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wiek</w:t>
            </w:r>
            <w:r w:rsidR="00B66D95" w:rsidRPr="004E2E0D">
              <w:rPr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od 2 do 18 roku życia</w:t>
            </w:r>
            <w:r w:rsidR="00AC5604">
              <w:rPr>
                <w:sz w:val="20"/>
                <w:szCs w:val="20"/>
              </w:rPr>
              <w:t>,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kontynuacja ich leczenia po 18 roku życia</w:t>
            </w:r>
            <w:r w:rsidR="00B66D95" w:rsidRPr="004E2E0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idiopatyczne i rodzinne tętnicze nadciśnienie płucne;</w:t>
            </w:r>
            <w:r w:rsidR="006E43D9"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tętnicze nadciśnienie płucne związane z chorobą tkanki łącznej;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tętnicze nadciśnienie płucne w przebiegu wrodzonych wad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zespół Eisenmengera;</w:t>
            </w:r>
          </w:p>
          <w:p w:rsidR="00627542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III klasa czynnościowa według WHO;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zastosowanie sk</w:t>
            </w:r>
            <w:r w:rsidR="00320486">
              <w:rPr>
                <w:sz w:val="20"/>
                <w:szCs w:val="20"/>
              </w:rPr>
              <w:t>utecznej metody antykoncepcji u </w:t>
            </w:r>
            <w:r w:rsidRPr="004E2E0D">
              <w:rPr>
                <w:sz w:val="20"/>
                <w:szCs w:val="20"/>
              </w:rPr>
              <w:t>miesiączkujących dziewcząt</w:t>
            </w:r>
            <w:r w:rsidR="00A8669E">
              <w:rPr>
                <w:sz w:val="20"/>
                <w:szCs w:val="20"/>
              </w:rPr>
              <w:t>.</w:t>
            </w:r>
          </w:p>
          <w:p w:rsidR="001C600E" w:rsidRPr="004E2E0D" w:rsidRDefault="008F7EC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1C600E" w:rsidRPr="004E2E0D">
              <w:rPr>
                <w:b/>
                <w:bCs/>
                <w:sz w:val="20"/>
                <w:szCs w:val="20"/>
              </w:rPr>
              <w:t>2</w:t>
            </w:r>
            <w:r w:rsidR="00FD1EEE" w:rsidRPr="004E2E0D">
              <w:rPr>
                <w:b/>
                <w:bCs/>
                <w:sz w:val="20"/>
                <w:szCs w:val="20"/>
              </w:rPr>
              <w:t>.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 Określenie czasu leczenia dzieci w programie</w:t>
            </w:r>
            <w:r w:rsidR="00152609">
              <w:rPr>
                <w:b/>
                <w:bCs/>
                <w:sz w:val="20"/>
                <w:szCs w:val="20"/>
              </w:rPr>
              <w:t>:</w:t>
            </w:r>
          </w:p>
          <w:p w:rsidR="006E27C7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Czas leczenia w programie określa lekarz na podstawie kryteriów wyłączeniu z programu.</w:t>
            </w:r>
          </w:p>
          <w:p w:rsidR="001C600E" w:rsidRPr="004E2E0D" w:rsidRDefault="008F7EC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1C600E" w:rsidRPr="004E2E0D">
              <w:rPr>
                <w:b/>
                <w:bCs/>
                <w:sz w:val="20"/>
                <w:szCs w:val="20"/>
              </w:rPr>
              <w:t>3</w:t>
            </w:r>
            <w:r w:rsidR="00FD1EEE" w:rsidRPr="004E2E0D">
              <w:rPr>
                <w:b/>
                <w:bCs/>
                <w:sz w:val="20"/>
                <w:szCs w:val="20"/>
              </w:rPr>
              <w:t>.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 Kryteria wyłączenia dzieci z programu</w:t>
            </w:r>
            <w:r w:rsidR="00152609">
              <w:rPr>
                <w:b/>
                <w:bCs/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nadciśnienie płucne o innej etiologii niż podano w kryteriach włączenia;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lastRenderedPageBreak/>
              <w:t>wrodzona wada serca z nadciśnieniem płucnym, w której istnieje możliwość leczenia operacyjnego;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ze strony świadczeniobiorcy w zakresie prowadzenia terapii oraz okresowej kontroli leczenia;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na którąkolwiek substancję pomocniczą;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umiarkowane do ciężkiego zaburzenie czynności wątroby;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aktywność AspAT lub AlAT &gt; 3 razy wartość górnej granicy normy ( GGN ) przed rozpoczęciem leczenia lub aktywność AspAT lub AlAT &gt; 8 razy GGN w trakcie leczenia;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jednoczesne stosowanie leków przeciwgrzybiczych, przeciwwirusowych, immunosupresyjnych, glibenklamidu, rifampicyny;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ciąża;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miesiączkujące dziewczęta niestosujące skutecznych metod antykoncepcji.</w:t>
            </w:r>
          </w:p>
          <w:p w:rsidR="008F7ECE" w:rsidRPr="004E2E0D" w:rsidRDefault="00795177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2.  </w:t>
            </w:r>
            <w:r w:rsidR="008F7ECE" w:rsidRPr="004E2E0D">
              <w:rPr>
                <w:b/>
                <w:sz w:val="20"/>
                <w:szCs w:val="20"/>
              </w:rPr>
              <w:t>Kontynuacja leczenia TNP u osób przekraczających wiek 18</w:t>
            </w:r>
            <w:r w:rsidR="00DB76BD">
              <w:rPr>
                <w:b/>
                <w:sz w:val="20"/>
                <w:szCs w:val="20"/>
              </w:rPr>
              <w:t> </w:t>
            </w:r>
            <w:r w:rsidR="008F7ECE" w:rsidRPr="004E2E0D">
              <w:rPr>
                <w:b/>
                <w:sz w:val="20"/>
                <w:szCs w:val="20"/>
              </w:rPr>
              <w:t>lat i wcześniej otrzymujących bosentan w ramach leczenia TNP u dzieci</w:t>
            </w:r>
            <w:r w:rsidR="00152609">
              <w:rPr>
                <w:b/>
                <w:sz w:val="20"/>
                <w:szCs w:val="20"/>
              </w:rPr>
              <w:t>:</w:t>
            </w:r>
          </w:p>
          <w:p w:rsidR="00795177" w:rsidRPr="004E2E0D" w:rsidRDefault="00795177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 </w:t>
            </w:r>
            <w:r w:rsidR="008F7ECE" w:rsidRPr="004E2E0D">
              <w:rPr>
                <w:b/>
                <w:sz w:val="20"/>
                <w:szCs w:val="20"/>
              </w:rPr>
              <w:t>2.</w:t>
            </w:r>
            <w:r w:rsidRPr="004E2E0D">
              <w:rPr>
                <w:b/>
                <w:sz w:val="20"/>
                <w:szCs w:val="20"/>
              </w:rPr>
              <w:t>1</w:t>
            </w:r>
            <w:r w:rsidR="002069A7" w:rsidRPr="004E2E0D">
              <w:rPr>
                <w:b/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Świadczeniodaw</w:t>
            </w:r>
            <w:r w:rsidR="008F7ECE" w:rsidRPr="004E2E0D">
              <w:rPr>
                <w:sz w:val="20"/>
                <w:szCs w:val="20"/>
              </w:rPr>
              <w:t>c</w:t>
            </w:r>
            <w:r w:rsidRPr="004E2E0D">
              <w:rPr>
                <w:sz w:val="20"/>
                <w:szCs w:val="20"/>
              </w:rPr>
              <w:t>a przejmujący pacjenta w programie lekowym nie ma obowiązku ponownej weryfikacji rozpoznania tętniczego nadciśnienia płucnego</w:t>
            </w:r>
            <w:r w:rsidR="002069A7" w:rsidRPr="004E2E0D">
              <w:rPr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8F7EC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2.2</w:t>
            </w:r>
            <w:r w:rsidR="002069A7" w:rsidRPr="004E2E0D">
              <w:rPr>
                <w:b/>
                <w:sz w:val="20"/>
                <w:szCs w:val="20"/>
              </w:rPr>
              <w:t>.</w:t>
            </w:r>
            <w:r w:rsidR="002069A7" w:rsidRPr="004E2E0D">
              <w:rPr>
                <w:sz w:val="20"/>
                <w:szCs w:val="20"/>
              </w:rPr>
              <w:t xml:space="preserve"> Kontynuacja leczenia substancjami czynnymi i jego monitorowanie oraz ewentualne zmiany terapii po 18 roku życia opierają się na zasadach zawartych w opisie programu lekowego leczenia TNP u dorosłych.  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lastRenderedPageBreak/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A.</w:t>
            </w:r>
            <w:r w:rsidR="0014400A" w:rsidRPr="004E2E0D">
              <w:rPr>
                <w:b/>
                <w:bCs/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Leczenie TNP u dorosłych:</w:t>
            </w:r>
          </w:p>
          <w:p w:rsidR="001C600E" w:rsidRPr="004E2E0D" w:rsidRDefault="00F23972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F23972">
              <w:rPr>
                <w:b/>
                <w:sz w:val="20"/>
                <w:szCs w:val="20"/>
              </w:rPr>
              <w:t>1</w:t>
            </w:r>
            <w:r w:rsidR="00BA353C" w:rsidRPr="00F23972">
              <w:rPr>
                <w:b/>
                <w:sz w:val="20"/>
                <w:szCs w:val="20"/>
              </w:rPr>
              <w:t>.</w:t>
            </w:r>
            <w:r w:rsidR="00BA353C">
              <w:rPr>
                <w:sz w:val="20"/>
                <w:szCs w:val="20"/>
              </w:rPr>
              <w:t xml:space="preserve"> </w:t>
            </w:r>
            <w:r w:rsidR="001C600E" w:rsidRPr="004E2E0D">
              <w:rPr>
                <w:sz w:val="20"/>
                <w:szCs w:val="20"/>
              </w:rPr>
              <w:t xml:space="preserve">Dawkowanie </w:t>
            </w:r>
            <w:r w:rsidR="001C600E" w:rsidRPr="004E2E0D">
              <w:rPr>
                <w:b/>
                <w:bCs/>
                <w:sz w:val="20"/>
                <w:szCs w:val="20"/>
              </w:rPr>
              <w:t>bosentanu</w:t>
            </w:r>
          </w:p>
          <w:p w:rsidR="001C600E" w:rsidRPr="001465EE" w:rsidRDefault="001465EE" w:rsidP="00BA5DA0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</w:t>
            </w:r>
            <w:r w:rsidRPr="001465EE">
              <w:rPr>
                <w:color w:val="FF0000"/>
                <w:sz w:val="20"/>
                <w:szCs w:val="20"/>
              </w:rPr>
              <w:t>.</w:t>
            </w:r>
          </w:p>
          <w:p w:rsidR="001C600E" w:rsidRPr="004E2E0D" w:rsidRDefault="006D448A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43960">
              <w:rPr>
                <w:sz w:val="20"/>
                <w:szCs w:val="20"/>
              </w:rPr>
              <w:t xml:space="preserve">. </w:t>
            </w:r>
            <w:r w:rsidR="001C600E" w:rsidRPr="004E2E0D">
              <w:rPr>
                <w:sz w:val="20"/>
                <w:szCs w:val="20"/>
              </w:rPr>
              <w:t xml:space="preserve"> Dawkowanie </w:t>
            </w:r>
            <w:r w:rsidR="001C600E" w:rsidRPr="004E2E0D">
              <w:rPr>
                <w:b/>
                <w:bCs/>
                <w:sz w:val="20"/>
                <w:szCs w:val="20"/>
              </w:rPr>
              <w:t>iloprostu</w:t>
            </w:r>
          </w:p>
          <w:p w:rsidR="001C600E" w:rsidRPr="00610AEA" w:rsidRDefault="002A046C" w:rsidP="002A046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leczniczego.</w:t>
            </w:r>
          </w:p>
          <w:p w:rsidR="001C600E" w:rsidRPr="004E2E0D" w:rsidRDefault="006D448A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3960" w:rsidRPr="00543960">
              <w:rPr>
                <w:b/>
                <w:sz w:val="20"/>
                <w:szCs w:val="20"/>
              </w:rPr>
              <w:t>.</w:t>
            </w:r>
            <w:r w:rsidR="001C600E" w:rsidRPr="004E2E0D">
              <w:rPr>
                <w:sz w:val="20"/>
                <w:szCs w:val="20"/>
              </w:rPr>
              <w:t xml:space="preserve"> Dawkowanie </w:t>
            </w:r>
            <w:r w:rsidR="001C600E" w:rsidRPr="004E2E0D">
              <w:rPr>
                <w:b/>
                <w:bCs/>
                <w:sz w:val="20"/>
                <w:szCs w:val="20"/>
              </w:rPr>
              <w:t>treprostynilu</w:t>
            </w:r>
          </w:p>
          <w:p w:rsidR="00543960" w:rsidRDefault="00276CB2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leczniczego.</w:t>
            </w:r>
          </w:p>
          <w:p w:rsidR="001D26CC" w:rsidRPr="003A678D" w:rsidRDefault="001D26CC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A678D">
              <w:rPr>
                <w:sz w:val="20"/>
                <w:szCs w:val="20"/>
              </w:rPr>
              <w:t>Produkt leczniczy Remodulin, roztwór do infuzji, 10</w:t>
            </w:r>
            <w:r w:rsidR="00FF0460" w:rsidRPr="003A678D">
              <w:rPr>
                <w:sz w:val="20"/>
                <w:szCs w:val="20"/>
              </w:rPr>
              <w:t xml:space="preserve">mg/1 ml, </w:t>
            </w:r>
            <w:r w:rsidRPr="003A678D">
              <w:rPr>
                <w:sz w:val="20"/>
                <w:szCs w:val="20"/>
              </w:rPr>
              <w:t>w ramach programu lekowego może być stosowany tylko u pacjentów z pompą wszczepialną.</w:t>
            </w:r>
          </w:p>
          <w:p w:rsidR="001C600E" w:rsidRPr="004E2E0D" w:rsidRDefault="00AD23AB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43960" w:rsidRPr="00F23972">
              <w:rPr>
                <w:b/>
                <w:sz w:val="20"/>
                <w:szCs w:val="20"/>
              </w:rPr>
              <w:t>.</w:t>
            </w:r>
            <w:r w:rsidR="00543960">
              <w:rPr>
                <w:sz w:val="20"/>
                <w:szCs w:val="20"/>
              </w:rPr>
              <w:t xml:space="preserve"> </w:t>
            </w:r>
            <w:r w:rsidR="001C600E" w:rsidRPr="004E2E0D">
              <w:rPr>
                <w:sz w:val="20"/>
                <w:szCs w:val="20"/>
              </w:rPr>
              <w:t xml:space="preserve">Dawkowanie </w:t>
            </w:r>
            <w:r w:rsidR="001C600E" w:rsidRPr="004E2E0D">
              <w:rPr>
                <w:b/>
                <w:bCs/>
                <w:sz w:val="20"/>
                <w:szCs w:val="20"/>
              </w:rPr>
              <w:t>iloprostu i sildenafilu</w:t>
            </w:r>
            <w:r w:rsidR="001C600E" w:rsidRPr="004E2E0D">
              <w:rPr>
                <w:sz w:val="20"/>
                <w:szCs w:val="20"/>
              </w:rPr>
              <w:t xml:space="preserve"> w terapii skojarzonej</w:t>
            </w:r>
          </w:p>
          <w:p w:rsidR="001C600E" w:rsidRPr="00F23972" w:rsidRDefault="00543960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Terapia dwulekowa</w:t>
            </w:r>
            <w:r w:rsidR="001C600E" w:rsidRPr="00610AEA">
              <w:rPr>
                <w:sz w:val="20"/>
                <w:szCs w:val="20"/>
              </w:rPr>
              <w:t xml:space="preserve"> </w:t>
            </w:r>
            <w:r w:rsidR="001C600E" w:rsidRPr="00F23972">
              <w:rPr>
                <w:sz w:val="20"/>
                <w:szCs w:val="20"/>
              </w:rPr>
              <w:t xml:space="preserve">stosowana w przypadku wystąpienia progresji choroby u </w:t>
            </w:r>
            <w:r w:rsidR="00F23972">
              <w:rPr>
                <w:sz w:val="20"/>
                <w:szCs w:val="20"/>
              </w:rPr>
              <w:t xml:space="preserve">pacjentów </w:t>
            </w:r>
            <w:r w:rsidR="001C600E" w:rsidRPr="00F23972">
              <w:rPr>
                <w:sz w:val="20"/>
                <w:szCs w:val="20"/>
              </w:rPr>
              <w:t>leczonyc</w:t>
            </w:r>
            <w:r w:rsidR="00F23972">
              <w:rPr>
                <w:sz w:val="20"/>
                <w:szCs w:val="20"/>
              </w:rPr>
              <w:t>h w I rzucie sildenafilem lub u pacjentów</w:t>
            </w:r>
            <w:r w:rsidR="001C600E" w:rsidRPr="00F23972">
              <w:rPr>
                <w:sz w:val="20"/>
                <w:szCs w:val="20"/>
              </w:rPr>
              <w:t xml:space="preserve"> znajdujących </w:t>
            </w:r>
            <w:r w:rsidR="00F23972">
              <w:rPr>
                <w:sz w:val="20"/>
                <w:szCs w:val="20"/>
              </w:rPr>
              <w:t>się w IV klasie czynnościowej w </w:t>
            </w:r>
            <w:r w:rsidR="001C600E" w:rsidRPr="00F23972">
              <w:rPr>
                <w:sz w:val="20"/>
                <w:szCs w:val="20"/>
              </w:rPr>
              <w:t>chwili rozpoznania choroby</w:t>
            </w:r>
            <w:r w:rsidR="0095002A" w:rsidRPr="00F23972">
              <w:rPr>
                <w:sz w:val="20"/>
                <w:szCs w:val="20"/>
              </w:rPr>
              <w:t>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Dawka sildenafilu: 20 mg 3 razy dziennie.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 xml:space="preserve">Dawka iloprostu na jedną inhalację: 2,5 mikrograma lub 5,0 mikrogramów iloprostu (podawanego w </w:t>
            </w:r>
            <w:r w:rsidRPr="00F23972">
              <w:rPr>
                <w:sz w:val="20"/>
                <w:szCs w:val="20"/>
              </w:rPr>
              <w:lastRenderedPageBreak/>
              <w:t>inhalacji przez ustnik nebulizatora), rozpoczynając od podania mniejszej dawki 2,5 mikrograma w</w:t>
            </w:r>
            <w:r w:rsidR="00715335">
              <w:rPr>
                <w:sz w:val="20"/>
                <w:szCs w:val="20"/>
              </w:rPr>
              <w:t> </w:t>
            </w:r>
            <w:r w:rsidRPr="00F23972">
              <w:rPr>
                <w:sz w:val="20"/>
                <w:szCs w:val="20"/>
              </w:rPr>
              <w:t>pierwszej inhalacji, a następnie w drugiej inhalacji podając 5,0 mikrogramów.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W przypadku złej tolerancji dawki 5 mikrogramów, dawka ta powinna być zmniejszona do 2,5 mikrograma.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Maksymalna liczba inhalacji na dobę wynosi 8.</w:t>
            </w:r>
          </w:p>
          <w:p w:rsidR="000642B5" w:rsidRPr="004E2E0D" w:rsidRDefault="000642B5" w:rsidP="000642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C600E" w:rsidRPr="004E2E0D" w:rsidRDefault="00B15F0A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Opcje terapii II rzutu (</w:t>
            </w:r>
            <w:r w:rsidRPr="004E2E0D">
              <w:rPr>
                <w:b/>
                <w:bCs/>
                <w:sz w:val="20"/>
                <w:szCs w:val="20"/>
              </w:rPr>
              <w:t>bosentan; iloprost; treprostynil; iloprost + sildenafil</w:t>
            </w:r>
            <w:r w:rsidR="00D246B5" w:rsidRPr="004E2E0D">
              <w:rPr>
                <w:sz w:val="20"/>
                <w:szCs w:val="20"/>
              </w:rPr>
              <w:t>) mogą być stos</w:t>
            </w:r>
            <w:r w:rsidR="00F23972">
              <w:rPr>
                <w:sz w:val="20"/>
                <w:szCs w:val="20"/>
              </w:rPr>
              <w:t>owane zamiennie w zależności od </w:t>
            </w:r>
            <w:r w:rsidR="00D246B5" w:rsidRPr="004E2E0D">
              <w:rPr>
                <w:sz w:val="20"/>
                <w:szCs w:val="20"/>
              </w:rPr>
              <w:t>tolerancji i skuteczności leczenia.</w:t>
            </w:r>
          </w:p>
          <w:p w:rsidR="004E2E0D" w:rsidRPr="004E2E0D" w:rsidRDefault="004E2E0D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B. Leczenie TNP u dzieci i kontynuacja ich leczenia po 18 roku życia</w:t>
            </w:r>
          </w:p>
          <w:p w:rsidR="00BC0292" w:rsidRPr="00A91853" w:rsidRDefault="00795177" w:rsidP="00BC0292">
            <w:pPr>
              <w:autoSpaceDE w:val="0"/>
              <w:autoSpaceDN w:val="0"/>
              <w:adjustRightInd w:val="0"/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</w:t>
            </w:r>
            <w:r w:rsidR="00BC0292" w:rsidRPr="00A9185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BC0292" w:rsidRPr="00A91853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292" w:rsidRPr="00A91853">
              <w:rPr>
                <w:b/>
                <w:bCs/>
                <w:color w:val="000000" w:themeColor="text1"/>
                <w:sz w:val="20"/>
                <w:szCs w:val="20"/>
              </w:rPr>
              <w:t>Leczenie dzieci  bosentanem:</w:t>
            </w:r>
          </w:p>
          <w:p w:rsidR="00BC0292" w:rsidRPr="00A91853" w:rsidRDefault="00BC0292" w:rsidP="00BC029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 xml:space="preserve">masa ciała od 20 do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91853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A91853">
              <w:rPr>
                <w:color w:val="000000" w:themeColor="text1"/>
                <w:sz w:val="20"/>
                <w:szCs w:val="20"/>
              </w:rPr>
              <w:t>, dawka początkowa (4 tygodnie) 31,25 mg dwa razy na dobę, dawka podtrzymująca 62,5 mg dwa razy na dobę;</w:t>
            </w:r>
          </w:p>
          <w:p w:rsidR="00BC0292" w:rsidRPr="00A91853" w:rsidRDefault="00BC0292" w:rsidP="00BC029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 xml:space="preserve">masa ciała większa niż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91853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A91853">
              <w:rPr>
                <w:color w:val="000000" w:themeColor="text1"/>
                <w:sz w:val="20"/>
                <w:szCs w:val="20"/>
              </w:rPr>
              <w:t>, dawka początkowa (</w:t>
            </w:r>
            <w:r w:rsidR="00AD64F8">
              <w:rPr>
                <w:color w:val="000000" w:themeColor="text1"/>
                <w:sz w:val="20"/>
                <w:szCs w:val="20"/>
              </w:rPr>
              <w:t>4 tygodnie) 62,5 mg dwa razy na </w:t>
            </w:r>
            <w:r w:rsidRPr="00A91853">
              <w:rPr>
                <w:color w:val="000000" w:themeColor="text1"/>
                <w:sz w:val="20"/>
                <w:szCs w:val="20"/>
              </w:rPr>
              <w:t>dobę, dawka podtrzymująca 125 mg dwa razy na dobę.</w:t>
            </w:r>
          </w:p>
          <w:p w:rsidR="00BC0292" w:rsidRPr="00A91853" w:rsidRDefault="00BC0292" w:rsidP="00BC0292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>Tabletki należy</w:t>
            </w:r>
            <w:r w:rsidR="00AD64F8">
              <w:rPr>
                <w:color w:val="000000" w:themeColor="text1"/>
                <w:sz w:val="20"/>
                <w:szCs w:val="20"/>
              </w:rPr>
              <w:t xml:space="preserve"> przyjmować rano i wieczorem, z </w:t>
            </w:r>
            <w:r w:rsidRPr="00A91853">
              <w:rPr>
                <w:color w:val="000000" w:themeColor="text1"/>
                <w:sz w:val="20"/>
                <w:szCs w:val="20"/>
              </w:rPr>
              <w:t>pokarmem lub bez pokarmu.</w:t>
            </w:r>
          </w:p>
          <w:p w:rsidR="00BC0292" w:rsidRPr="00A91853" w:rsidRDefault="00BC0292" w:rsidP="00BC0292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 xml:space="preserve">U dzieci w wieku powyżej 2 lat optymalna dawka podtrzymująca nie została ustalona w dobrze kontrolowanych badaniach. Jednak dane farmakokinetyczne u dzieci wykazały, że stężenie bozentanu w osoczu u dzieci było zwykle mniejsze </w:t>
            </w:r>
            <w:r w:rsidRPr="00A91853">
              <w:rPr>
                <w:color w:val="000000" w:themeColor="text1"/>
                <w:sz w:val="20"/>
                <w:szCs w:val="20"/>
              </w:rPr>
              <w:lastRenderedPageBreak/>
              <w:t>niż u świadczeniobiorców dorosłych i nie wzrastało po zwiększeniu dawki bozentanu do poziomu powyżej 2mg/kg dwa razy na dobę .Na podstawie danych farmakoki</w:t>
            </w:r>
            <w:r w:rsidR="00647B78">
              <w:rPr>
                <w:color w:val="000000" w:themeColor="text1"/>
                <w:sz w:val="20"/>
                <w:szCs w:val="20"/>
              </w:rPr>
              <w:t>netycznych można stwierdzić, że </w:t>
            </w:r>
            <w:r w:rsidRPr="00A91853">
              <w:rPr>
                <w:color w:val="000000" w:themeColor="text1"/>
                <w:sz w:val="20"/>
                <w:szCs w:val="20"/>
              </w:rPr>
              <w:t>jest mało prawdopodobne, by większe dawki były bardziej skuteczne</w:t>
            </w:r>
            <w:r w:rsidR="00647B78">
              <w:rPr>
                <w:color w:val="000000" w:themeColor="text1"/>
                <w:sz w:val="20"/>
                <w:szCs w:val="20"/>
              </w:rPr>
              <w:t>. Nie można także wykluczyć, że </w:t>
            </w:r>
            <w:r w:rsidRPr="00A91853">
              <w:rPr>
                <w:color w:val="000000" w:themeColor="text1"/>
                <w:sz w:val="20"/>
                <w:szCs w:val="20"/>
              </w:rPr>
              <w:t>po zwiększeniu dawki u dzieci wzrośnie prawdopodobieństwo wystąpienia działań niepożądanych. Nie przeprowadzono badań klinicznych porównujących stosunek skuteczności do bezpieczeństwa dawki 2 mg/kg i 4 mg/kg dwa razy na dobę u dzieci.</w:t>
            </w:r>
          </w:p>
          <w:p w:rsidR="00A842A1" w:rsidRPr="00A91853" w:rsidRDefault="00BC0292" w:rsidP="00A842A1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>Doświadczenie kliniczne, dotyczące dzieci w wieku poniżej 2 lat jest ograniczone.</w:t>
            </w:r>
          </w:p>
          <w:p w:rsidR="002069A7" w:rsidRPr="004E2E0D" w:rsidRDefault="002069A7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</w:t>
            </w:r>
            <w:r w:rsidR="006E43D9" w:rsidRPr="004E2E0D">
              <w:rPr>
                <w:sz w:val="20"/>
                <w:szCs w:val="20"/>
              </w:rPr>
              <w:t xml:space="preserve"> </w:t>
            </w:r>
            <w:r w:rsidR="006E43D9" w:rsidRPr="004E2E0D">
              <w:rPr>
                <w:b/>
                <w:sz w:val="20"/>
                <w:szCs w:val="20"/>
              </w:rPr>
              <w:t>Kontynuacja leczenia TNP u osób przekraczających wiek 18 lat i wcześniej otrzymujących bosentan w ramach leczenia TNP u dzieci</w:t>
            </w:r>
          </w:p>
          <w:p w:rsidR="006E43D9" w:rsidRPr="004E2E0D" w:rsidRDefault="001F6840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Schemat dawk</w:t>
            </w:r>
            <w:r w:rsidR="00A4511F">
              <w:rPr>
                <w:sz w:val="20"/>
                <w:szCs w:val="20"/>
              </w:rPr>
              <w:t>owania substancji czynnych – na </w:t>
            </w:r>
            <w:r w:rsidRPr="004E2E0D">
              <w:rPr>
                <w:sz w:val="20"/>
                <w:szCs w:val="20"/>
              </w:rPr>
              <w:t>zasadach zawartych w opisie programu lekowego leczenia TNP u dorosłych.</w:t>
            </w:r>
            <w:r w:rsidRPr="004E2E0D" w:rsidDel="001F6840">
              <w:rPr>
                <w:sz w:val="20"/>
                <w:szCs w:val="20"/>
              </w:rPr>
              <w:t xml:space="preserve"> </w:t>
            </w:r>
          </w:p>
          <w:p w:rsidR="000D570F" w:rsidRPr="004E2E0D" w:rsidRDefault="000D570F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 </w:t>
            </w:r>
            <w:r w:rsidR="001F6840" w:rsidRPr="004E2E0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72266">
              <w:rPr>
                <w:b/>
                <w:sz w:val="20"/>
                <w:szCs w:val="20"/>
              </w:rPr>
              <w:lastRenderedPageBreak/>
              <w:t xml:space="preserve"> </w:t>
            </w:r>
            <w:r w:rsidR="00472266" w:rsidRPr="00472266">
              <w:rPr>
                <w:b/>
                <w:sz w:val="20"/>
                <w:szCs w:val="20"/>
              </w:rPr>
              <w:t>1.</w:t>
            </w:r>
            <w:r w:rsidR="00472266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 xml:space="preserve"> Badania przy kwalifikacji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1.1</w:t>
            </w:r>
            <w:r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Badania nieinwazyjne:</w:t>
            </w:r>
          </w:p>
          <w:p w:rsidR="001C600E" w:rsidRPr="004E2E0D" w:rsidRDefault="001C600E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ocena </w:t>
            </w:r>
            <w:r w:rsidR="009F1944">
              <w:rPr>
                <w:sz w:val="20"/>
                <w:szCs w:val="20"/>
              </w:rPr>
              <w:t>klasy czynnościowej według NYHA,</w:t>
            </w:r>
          </w:p>
          <w:p w:rsidR="001C600E" w:rsidRPr="004E2E0D" w:rsidRDefault="009F1944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6-minutowego marszu,</w:t>
            </w:r>
          </w:p>
          <w:p w:rsidR="001C600E" w:rsidRPr="004E2E0D" w:rsidRDefault="009F1944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NT-pro-BNP,</w:t>
            </w:r>
          </w:p>
          <w:p w:rsidR="001C600E" w:rsidRPr="004E2E0D" w:rsidRDefault="00707C6B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echokardiograficzne.</w:t>
            </w:r>
          </w:p>
          <w:p w:rsidR="001C600E" w:rsidRPr="004E2E0D" w:rsidRDefault="001C600E" w:rsidP="00707C6B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1.2 </w:t>
            </w:r>
            <w:r w:rsidRPr="004E2E0D">
              <w:rPr>
                <w:b/>
                <w:bCs/>
                <w:sz w:val="20"/>
                <w:szCs w:val="20"/>
              </w:rPr>
              <w:t>Badania inwazyjne</w:t>
            </w:r>
            <w:r w:rsidR="000F7FE6">
              <w:rPr>
                <w:b/>
                <w:bCs/>
                <w:sz w:val="20"/>
                <w:szCs w:val="20"/>
              </w:rPr>
              <w:t>:</w:t>
            </w:r>
          </w:p>
          <w:p w:rsidR="007A0B79" w:rsidRPr="007A0B79" w:rsidRDefault="007A0B79" w:rsidP="007A0B79">
            <w:pPr>
              <w:widowControl w:val="0"/>
              <w:spacing w:before="29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1.2.1 Cewnikowanie prawego serca</w:t>
            </w:r>
            <w:r w:rsidRPr="007A0B79" w:rsidDel="00AE4B2C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 xml:space="preserve">(badanie hemodynamiczne) z oceną: </w:t>
            </w:r>
          </w:p>
          <w:p w:rsidR="007A0B79" w:rsidRPr="007A0B79" w:rsidRDefault="009F1944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ciśnienia zaklinowania;</w:t>
            </w:r>
          </w:p>
          <w:p w:rsidR="007A0B79" w:rsidRPr="007A0B79" w:rsidRDefault="009F1944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naczyniowego oporu płucnego;</w:t>
            </w:r>
            <w:r w:rsidR="007A0B79" w:rsidRPr="007A0B7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:rsidR="007A0B79" w:rsidRPr="007A0B79" w:rsidRDefault="009F1944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pojemności minutowej;</w:t>
            </w:r>
          </w:p>
          <w:p w:rsidR="007A0B79" w:rsidRPr="007A0B79" w:rsidRDefault="007A0B79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s</w:t>
            </w:r>
            <w:r w:rsidR="009F1944">
              <w:rPr>
                <w:spacing w:val="-1"/>
                <w:sz w:val="20"/>
                <w:szCs w:val="20"/>
                <w:lang w:eastAsia="en-US"/>
              </w:rPr>
              <w:t>aturacji mieszanej krwi żylnej</w:t>
            </w:r>
          </w:p>
          <w:p w:rsidR="007A0B79" w:rsidRPr="007A0B79" w:rsidRDefault="007A0B79" w:rsidP="007A0B7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 xml:space="preserve">i przeprowadzeniem  testów  wazodylatacyjnych. </w:t>
            </w:r>
          </w:p>
          <w:p w:rsidR="007A0B79" w:rsidRDefault="007A0B79" w:rsidP="005F3327">
            <w:pPr>
              <w:widowControl w:val="0"/>
              <w:tabs>
                <w:tab w:val="left" w:pos="281"/>
              </w:tabs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Badanie to musi być wykonane</w:t>
            </w:r>
            <w:r w:rsidR="003F2ACC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>nie więcej niż 8 tygodni przed włączeniem do programu</w:t>
            </w:r>
            <w:r w:rsidR="003F2ACC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:rsidR="007A0B79" w:rsidRPr="007A0B79" w:rsidRDefault="007A0B79" w:rsidP="007A0B7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1.2.2 W przypadku ciężkiego stanu pacjenta diagnostyczne cewnikowanie prawego serca można odłożyć do czasu uzyskania stabilizacji klinicznej wyłącznie pod warunkiem, że było ono wykonane wcześniej i potwierdziło rozpoznanie tętniczego nadciśnienia płucnego.</w:t>
            </w:r>
          </w:p>
          <w:p w:rsidR="007A0B79" w:rsidRPr="007A0B79" w:rsidRDefault="007A0B79" w:rsidP="007A0B7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1.2.3 Wymóg cewnikowania prawego serca przy kwalifikacji</w:t>
            </w:r>
            <w:r w:rsidR="0024356F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="0024356F">
              <w:rPr>
                <w:spacing w:val="-1"/>
                <w:sz w:val="20"/>
                <w:szCs w:val="20"/>
                <w:lang w:eastAsia="en-US"/>
              </w:rPr>
              <w:lastRenderedPageBreak/>
              <w:t>nie 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>dotyczy:</w:t>
            </w:r>
          </w:p>
          <w:p w:rsidR="0036723B" w:rsidRPr="00610AEA" w:rsidRDefault="0036723B" w:rsidP="007A0B79">
            <w:pPr>
              <w:widowControl w:val="0"/>
              <w:numPr>
                <w:ilvl w:val="0"/>
                <w:numId w:val="33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610AEA">
              <w:rPr>
                <w:spacing w:val="-1"/>
                <w:sz w:val="20"/>
                <w:szCs w:val="20"/>
                <w:lang w:eastAsia="en-US"/>
              </w:rPr>
              <w:t>pacjentów uprzednio leczonych sildenafilem , u których tętnicze nadciśnienie płucne</w:t>
            </w:r>
            <w:r w:rsidR="0024356F" w:rsidRPr="00610AEA">
              <w:rPr>
                <w:spacing w:val="-1"/>
                <w:sz w:val="20"/>
                <w:szCs w:val="20"/>
                <w:lang w:eastAsia="en-US"/>
              </w:rPr>
              <w:t xml:space="preserve"> było potwierdzone cenikowaniem </w:t>
            </w:r>
            <w:r w:rsidRPr="00610AEA">
              <w:rPr>
                <w:spacing w:val="-1"/>
                <w:sz w:val="20"/>
                <w:szCs w:val="20"/>
                <w:lang w:eastAsia="en-US"/>
              </w:rPr>
              <w:t>prawe</w:t>
            </w:r>
            <w:r w:rsidR="0024356F" w:rsidRPr="00610AEA">
              <w:rPr>
                <w:spacing w:val="-1"/>
                <w:sz w:val="20"/>
                <w:szCs w:val="20"/>
                <w:lang w:eastAsia="en-US"/>
              </w:rPr>
              <w:t>go</w:t>
            </w:r>
            <w:r w:rsidRPr="00610AEA">
              <w:rPr>
                <w:spacing w:val="-1"/>
                <w:sz w:val="20"/>
                <w:szCs w:val="20"/>
                <w:lang w:eastAsia="en-US"/>
              </w:rPr>
              <w:t xml:space="preserve"> serca w przeszłości,</w:t>
            </w:r>
          </w:p>
          <w:p w:rsidR="007A0B79" w:rsidRPr="007A0B79" w:rsidRDefault="007A0B79" w:rsidP="007A0B79">
            <w:pPr>
              <w:widowControl w:val="0"/>
              <w:numPr>
                <w:ilvl w:val="0"/>
                <w:numId w:val="33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 xml:space="preserve">pacjentów z zespołem Eisenmengera, jeśli cewnikowanie prawego serca było </w:t>
            </w:r>
            <w:r>
              <w:rPr>
                <w:spacing w:val="-1"/>
                <w:sz w:val="20"/>
                <w:szCs w:val="20"/>
                <w:lang w:eastAsia="en-US"/>
              </w:rPr>
              <w:t>wykonane u nich w przeszłości i 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>potwierdziło rozpoznanie tętniczego nadciśnienia płucnego.</w:t>
            </w:r>
          </w:p>
          <w:p w:rsidR="0014400A" w:rsidRPr="004E2E0D" w:rsidRDefault="0014400A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2. Monitorowanie </w:t>
            </w:r>
            <w:r w:rsidR="007A0B79">
              <w:rPr>
                <w:b/>
                <w:sz w:val="20"/>
                <w:szCs w:val="20"/>
              </w:rPr>
              <w:t>leczenia</w:t>
            </w:r>
          </w:p>
          <w:p w:rsidR="00612F48" w:rsidRPr="00612F48" w:rsidRDefault="00612F48" w:rsidP="00612F48">
            <w:pPr>
              <w:widowControl w:val="0"/>
              <w:spacing w:before="29"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Oc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tę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lec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ć 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ie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ak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612F48">
              <w:rPr>
                <w:sz w:val="20"/>
                <w:szCs w:val="20"/>
                <w:lang w:eastAsia="en-US"/>
              </w:rPr>
              <w:t>ziej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ym</w:t>
            </w:r>
            <w:r w:rsidRPr="00612F48">
              <w:rPr>
                <w:sz w:val="20"/>
                <w:szCs w:val="20"/>
                <w:lang w:eastAsia="en-US"/>
              </w:rPr>
              <w:t>.</w:t>
            </w:r>
          </w:p>
          <w:p w:rsidR="00612F48" w:rsidRPr="00612F48" w:rsidRDefault="00612F48" w:rsidP="00612F48">
            <w:pPr>
              <w:widowControl w:val="0"/>
              <w:spacing w:before="2" w:line="276" w:lineRule="auto"/>
              <w:rPr>
                <w:sz w:val="20"/>
                <w:szCs w:val="20"/>
                <w:lang w:eastAsia="en-US"/>
              </w:rPr>
            </w:pPr>
          </w:p>
          <w:p w:rsidR="00612F48" w:rsidRPr="000F7FE6" w:rsidRDefault="00612F48" w:rsidP="00612F48">
            <w:pPr>
              <w:widowControl w:val="0"/>
              <w:numPr>
                <w:ilvl w:val="0"/>
                <w:numId w:val="37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F7FE6">
              <w:rPr>
                <w:b/>
                <w:spacing w:val="1"/>
                <w:sz w:val="20"/>
                <w:szCs w:val="20"/>
                <w:lang w:eastAsia="en-US"/>
              </w:rPr>
              <w:t>B</w:t>
            </w:r>
            <w:r w:rsidRPr="000F7FE6">
              <w:rPr>
                <w:b/>
                <w:sz w:val="20"/>
                <w:szCs w:val="20"/>
                <w:lang w:eastAsia="en-US"/>
              </w:rPr>
              <w:t>a</w:t>
            </w:r>
            <w:r w:rsidRPr="000F7FE6">
              <w:rPr>
                <w:b/>
                <w:spacing w:val="1"/>
                <w:sz w:val="20"/>
                <w:szCs w:val="20"/>
                <w:lang w:eastAsia="en-US"/>
              </w:rPr>
              <w:t>d</w:t>
            </w:r>
            <w:r w:rsidRPr="000F7FE6">
              <w:rPr>
                <w:b/>
                <w:sz w:val="20"/>
                <w:szCs w:val="20"/>
                <w:lang w:eastAsia="en-US"/>
              </w:rPr>
              <w:t>a</w:t>
            </w:r>
            <w:r w:rsidRPr="000F7FE6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z w:val="20"/>
                <w:szCs w:val="20"/>
                <w:lang w:eastAsia="en-US"/>
              </w:rPr>
              <w:t>ia</w:t>
            </w:r>
            <w:r w:rsidRPr="000F7FE6">
              <w:rPr>
                <w:b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F7FE6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z w:val="20"/>
                <w:szCs w:val="20"/>
                <w:lang w:eastAsia="en-US"/>
              </w:rPr>
              <w:t>iei</w:t>
            </w:r>
            <w:r w:rsidRPr="000F7FE6">
              <w:rPr>
                <w:b/>
                <w:spacing w:val="3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pacing w:val="-2"/>
                <w:sz w:val="20"/>
                <w:szCs w:val="20"/>
                <w:lang w:eastAsia="en-US"/>
              </w:rPr>
              <w:t>w</w:t>
            </w:r>
            <w:r w:rsidRPr="000F7FE6">
              <w:rPr>
                <w:b/>
                <w:sz w:val="20"/>
                <w:szCs w:val="20"/>
                <w:lang w:eastAsia="en-US"/>
              </w:rPr>
              <w:t>a</w:t>
            </w:r>
            <w:r w:rsidRPr="000F7FE6">
              <w:rPr>
                <w:b/>
                <w:spacing w:val="3"/>
                <w:sz w:val="20"/>
                <w:szCs w:val="20"/>
                <w:lang w:eastAsia="en-US"/>
              </w:rPr>
              <w:t>z</w:t>
            </w:r>
            <w:r w:rsidRPr="000F7FE6">
              <w:rPr>
                <w:b/>
                <w:spacing w:val="-4"/>
                <w:sz w:val="20"/>
                <w:szCs w:val="20"/>
                <w:lang w:eastAsia="en-US"/>
              </w:rPr>
              <w:t>y</w:t>
            </w:r>
            <w:r w:rsidRPr="000F7FE6">
              <w:rPr>
                <w:b/>
                <w:spacing w:val="2"/>
                <w:sz w:val="20"/>
                <w:szCs w:val="20"/>
                <w:lang w:eastAsia="en-US"/>
              </w:rPr>
              <w:t>j</w:t>
            </w:r>
            <w:r w:rsidRPr="000F7FE6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z w:val="20"/>
                <w:szCs w:val="20"/>
                <w:lang w:eastAsia="en-US"/>
              </w:rPr>
              <w:t>e: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ł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A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6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test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6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nu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 (w przypadku dzieci dotyczy pacjentów, których parametry rozwojowe umożliwiają wykonanie badania)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f</w:t>
            </w:r>
            <w:r w:rsidRPr="00612F48">
              <w:rPr>
                <w:sz w:val="20"/>
                <w:szCs w:val="20"/>
                <w:lang w:eastAsia="en-US"/>
              </w:rPr>
              <w:t>icz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(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ro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ież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 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)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612F48">
            <w:pPr>
              <w:widowControl w:val="0"/>
              <w:spacing w:before="33"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kon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co 3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 xml:space="preserve">6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ies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ęc</w:t>
            </w:r>
            <w:r w:rsidRPr="00612F48">
              <w:rPr>
                <w:sz w:val="20"/>
                <w:szCs w:val="20"/>
                <w:lang w:eastAsia="en-US"/>
              </w:rPr>
              <w:t>y. Do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ę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te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 xml:space="preserve">ć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 xml:space="preserve">te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ież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="00B6717F">
              <w:rPr>
                <w:sz w:val="20"/>
                <w:szCs w:val="20"/>
                <w:lang w:eastAsia="en-US"/>
              </w:rPr>
              <w:t> 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612F48">
              <w:rPr>
                <w:spacing w:val="6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tr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li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6"/>
                <w:sz w:val="20"/>
                <w:szCs w:val="20"/>
                <w:lang w:eastAsia="en-US"/>
              </w:rPr>
              <w:t>3</w:t>
            </w:r>
            <w:r w:rsidRPr="00612F48">
              <w:rPr>
                <w:sz w:val="20"/>
                <w:szCs w:val="20"/>
                <w:lang w:eastAsia="en-US"/>
              </w:rPr>
              <w:t xml:space="preserve">-6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,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ale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ież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or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 xml:space="preserve">a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opo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cia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pogorszenia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pacjenta</w:t>
            </w:r>
            <w:r w:rsidRPr="00612F48">
              <w:rPr>
                <w:sz w:val="20"/>
                <w:szCs w:val="20"/>
                <w:lang w:eastAsia="en-US"/>
              </w:rPr>
              <w:t>.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 xml:space="preserve">W tej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tęp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7"/>
                <w:sz w:val="20"/>
                <w:szCs w:val="20"/>
                <w:lang w:eastAsia="en-US"/>
              </w:rPr>
              <w:t>3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z w:val="20"/>
                <w:szCs w:val="20"/>
                <w:lang w:eastAsia="en-US"/>
              </w:rPr>
              <w:t xml:space="preserve">6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612F48">
              <w:rPr>
                <w:sz w:val="20"/>
                <w:szCs w:val="20"/>
                <w:lang w:eastAsia="en-US"/>
              </w:rPr>
              <w:t>astę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ch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tr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 w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że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lic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ć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tu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dod</w:t>
            </w:r>
            <w:r w:rsidRPr="00612F48">
              <w:rPr>
                <w:sz w:val="20"/>
                <w:szCs w:val="20"/>
                <w:lang w:eastAsia="en-US"/>
              </w:rPr>
              <w:t>at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ch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ep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ie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ze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z w:val="20"/>
                <w:szCs w:val="20"/>
                <w:lang w:eastAsia="en-US"/>
              </w:rPr>
              <w:t>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icz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z w:val="20"/>
                <w:szCs w:val="20"/>
                <w:lang w:eastAsia="en-US"/>
              </w:rPr>
              <w:t>.</w:t>
            </w:r>
          </w:p>
          <w:p w:rsidR="00612F48" w:rsidRDefault="00612F48" w:rsidP="00612F48">
            <w:pPr>
              <w:widowControl w:val="0"/>
              <w:spacing w:before="5" w:line="276" w:lineRule="auto"/>
              <w:rPr>
                <w:sz w:val="20"/>
                <w:szCs w:val="20"/>
                <w:lang w:eastAsia="en-US"/>
              </w:rPr>
            </w:pPr>
          </w:p>
          <w:p w:rsidR="00AD23AB" w:rsidRPr="00612F48" w:rsidRDefault="00AD23AB" w:rsidP="00612F48">
            <w:pPr>
              <w:widowControl w:val="0"/>
              <w:spacing w:before="5" w:line="276" w:lineRule="auto"/>
              <w:rPr>
                <w:sz w:val="20"/>
                <w:szCs w:val="20"/>
                <w:lang w:eastAsia="en-US"/>
              </w:rPr>
            </w:pPr>
          </w:p>
          <w:p w:rsidR="00612F48" w:rsidRPr="00612F48" w:rsidRDefault="00612F48" w:rsidP="00612F48">
            <w:pPr>
              <w:widowControl w:val="0"/>
              <w:numPr>
                <w:ilvl w:val="0"/>
                <w:numId w:val="3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b/>
                <w:spacing w:val="-1"/>
                <w:sz w:val="20"/>
                <w:szCs w:val="20"/>
                <w:lang w:eastAsia="en-US"/>
              </w:rPr>
              <w:lastRenderedPageBreak/>
              <w:t>B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b/>
                <w:sz w:val="20"/>
                <w:szCs w:val="20"/>
                <w:lang w:eastAsia="en-US"/>
              </w:rPr>
              <w:t>d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b/>
                <w:sz w:val="20"/>
                <w:szCs w:val="20"/>
                <w:lang w:eastAsia="en-US"/>
              </w:rPr>
              <w:t>nia</w:t>
            </w:r>
            <w:r w:rsidRPr="00612F48">
              <w:rPr>
                <w:b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b/>
                <w:sz w:val="20"/>
                <w:szCs w:val="20"/>
                <w:lang w:eastAsia="en-US"/>
              </w:rPr>
              <w:t>in</w:t>
            </w:r>
            <w:r w:rsidRPr="00612F48">
              <w:rPr>
                <w:b/>
                <w:spacing w:val="2"/>
                <w:sz w:val="20"/>
                <w:szCs w:val="20"/>
                <w:lang w:eastAsia="en-US"/>
              </w:rPr>
              <w:t>w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b/>
                <w:spacing w:val="-2"/>
                <w:sz w:val="20"/>
                <w:szCs w:val="20"/>
                <w:lang w:eastAsia="en-US"/>
              </w:rPr>
              <w:t>z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yj</w:t>
            </w:r>
            <w:r w:rsidRPr="00612F48">
              <w:rPr>
                <w:b/>
                <w:sz w:val="20"/>
                <w:szCs w:val="20"/>
                <w:lang w:eastAsia="en-US"/>
              </w:rPr>
              <w:t>ne</w:t>
            </w:r>
            <w:r w:rsidR="000F7FE6">
              <w:rPr>
                <w:b/>
                <w:sz w:val="20"/>
                <w:szCs w:val="20"/>
                <w:lang w:eastAsia="en-US"/>
              </w:rPr>
              <w:t>:</w:t>
            </w:r>
          </w:p>
          <w:p w:rsidR="00612F48" w:rsidRPr="00612F48" w:rsidRDefault="00612F48" w:rsidP="005F3327">
            <w:pPr>
              <w:widowControl w:val="0"/>
              <w:spacing w:line="27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612F48">
              <w:rPr>
                <w:spacing w:val="-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ca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(b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e)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="00B6717F">
              <w:rPr>
                <w:sz w:val="20"/>
                <w:szCs w:val="20"/>
                <w:lang w:eastAsia="en-US"/>
              </w:rPr>
              <w:t> 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ciśnie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ia,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opor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ł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 xml:space="preserve">,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sa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ej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 xml:space="preserve">e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ię: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6"/>
              </w:numPr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 xml:space="preserve">co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1</w:t>
            </w:r>
            <w:r w:rsidRPr="00612F48">
              <w:rPr>
                <w:sz w:val="20"/>
                <w:szCs w:val="20"/>
                <w:lang w:eastAsia="en-US"/>
              </w:rPr>
              <w:t xml:space="preserve">2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2</w:t>
            </w:r>
            <w:r w:rsidRPr="00612F48">
              <w:rPr>
                <w:sz w:val="20"/>
                <w:szCs w:val="20"/>
                <w:lang w:eastAsia="en-US"/>
              </w:rPr>
              <w:t>4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ies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e – nie dotyczy pacjentów z zespołem Eisenmengera;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6"/>
              </w:numPr>
              <w:tabs>
                <w:tab w:val="left" w:pos="360"/>
              </w:tabs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przed włączeniem te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ii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skojarzonej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lub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terapii II rzutu</w:t>
            </w:r>
            <w:r w:rsidR="00B6717F">
              <w:rPr>
                <w:spacing w:val="-11"/>
                <w:sz w:val="20"/>
                <w:szCs w:val="20"/>
                <w:lang w:eastAsia="en-US"/>
              </w:rPr>
              <w:t>, z </w:t>
            </w:r>
            <w:r w:rsidR="00347215">
              <w:rPr>
                <w:spacing w:val="-11"/>
                <w:sz w:val="20"/>
                <w:szCs w:val="20"/>
                <w:lang w:eastAsia="en-US"/>
              </w:rPr>
              <w:t>tym że w przypadku ciężkiego s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>tanu</w:t>
            </w:r>
            <w:r w:rsidR="00347215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>pacjenta</w:t>
            </w:r>
            <w:r w:rsidR="00347215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(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V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 xml:space="preserve">a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ł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A)</w:t>
            </w:r>
            <w:r w:rsidRPr="00612F48">
              <w:rPr>
                <w:sz w:val="20"/>
                <w:szCs w:val="20"/>
                <w:lang w:eastAsia="en-US"/>
              </w:rPr>
              <w:t xml:space="preserve"> można odłożyć cewnikowanie do czasu uzyskania stabilizacji klinicznej;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6"/>
              </w:numPr>
              <w:tabs>
                <w:tab w:val="left" w:pos="360"/>
              </w:tabs>
              <w:spacing w:before="1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eżeli:</w:t>
            </w:r>
          </w:p>
          <w:p w:rsidR="006615A2" w:rsidRPr="006615A2" w:rsidRDefault="00612F48" w:rsidP="005F3327">
            <w:pPr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el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="006615A2">
              <w:rPr>
                <w:sz w:val="20"/>
                <w:szCs w:val="20"/>
                <w:lang w:eastAsia="en-US"/>
              </w:rPr>
              <w:t> 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ad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ala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f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lec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="006615A2">
              <w:rPr>
                <w:spacing w:val="-4"/>
                <w:sz w:val="20"/>
                <w:szCs w:val="20"/>
                <w:lang w:eastAsia="en-US"/>
              </w:rPr>
              <w:t xml:space="preserve"> zgodnie z 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obowiązującymi standardami</w:t>
            </w:r>
          </w:p>
          <w:p w:rsidR="00612F48" w:rsidRPr="00612F48" w:rsidRDefault="00612F48" w:rsidP="00B43824">
            <w:pPr>
              <w:widowControl w:val="0"/>
              <w:tabs>
                <w:tab w:val="left" w:pos="360"/>
              </w:tabs>
              <w:spacing w:before="1" w:line="276" w:lineRule="auto"/>
              <w:ind w:left="1440" w:hanging="355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2"/>
                <w:sz w:val="20"/>
                <w:szCs w:val="20"/>
                <w:lang w:eastAsia="en-US"/>
              </w:rPr>
              <w:t>je</w:t>
            </w:r>
            <w:r w:rsidRPr="00612F48">
              <w:rPr>
                <w:sz w:val="20"/>
                <w:szCs w:val="20"/>
                <w:lang w:eastAsia="en-US"/>
              </w:rPr>
              <w:t>żeli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az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li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i 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</w:p>
          <w:p w:rsidR="00612F48" w:rsidRPr="00612F48" w:rsidRDefault="00612F48" w:rsidP="006615A2">
            <w:pPr>
              <w:widowControl w:val="0"/>
              <w:tabs>
                <w:tab w:val="left" w:pos="360"/>
              </w:tabs>
              <w:spacing w:before="1" w:line="276" w:lineRule="auto"/>
              <w:ind w:left="708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 xml:space="preserve">- </w:t>
            </w:r>
            <w:r w:rsidR="00E53EEF">
              <w:rPr>
                <w:sz w:val="20"/>
                <w:szCs w:val="20"/>
                <w:lang w:eastAsia="en-US"/>
              </w:rPr>
              <w:t>do decyzji lekarza prowadzącego.</w:t>
            </w:r>
          </w:p>
          <w:p w:rsidR="00612F48" w:rsidRPr="00612F48" w:rsidRDefault="00612F48" w:rsidP="00612F48">
            <w:pPr>
              <w:widowControl w:val="0"/>
              <w:tabs>
                <w:tab w:val="left" w:pos="360"/>
              </w:tabs>
              <w:spacing w:before="1" w:line="276" w:lineRule="auto"/>
              <w:ind w:left="720"/>
              <w:rPr>
                <w:sz w:val="20"/>
                <w:szCs w:val="20"/>
                <w:lang w:eastAsia="en-US"/>
              </w:rPr>
            </w:pPr>
          </w:p>
          <w:p w:rsidR="00612F48" w:rsidRDefault="00612F48" w:rsidP="00760F72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Wykonanie cewnikowania pr</w:t>
            </w:r>
            <w:r w:rsidR="00760F72">
              <w:rPr>
                <w:sz w:val="20"/>
                <w:szCs w:val="20"/>
                <w:lang w:eastAsia="en-US"/>
              </w:rPr>
              <w:t>awego serca nie jest wymagane u </w:t>
            </w:r>
            <w:r w:rsidRPr="00612F48">
              <w:rPr>
                <w:sz w:val="20"/>
                <w:szCs w:val="20"/>
                <w:lang w:eastAsia="en-US"/>
              </w:rPr>
              <w:t xml:space="preserve">pacjentów w wieku poniżej 18 lat. </w:t>
            </w:r>
          </w:p>
          <w:p w:rsidR="00760F72" w:rsidRPr="00612F48" w:rsidRDefault="00760F72" w:rsidP="00612F48">
            <w:pPr>
              <w:widowControl w:val="0"/>
              <w:spacing w:before="6" w:line="276" w:lineRule="auto"/>
              <w:ind w:left="360"/>
              <w:rPr>
                <w:sz w:val="20"/>
                <w:szCs w:val="20"/>
                <w:lang w:eastAsia="en-US"/>
              </w:rPr>
            </w:pPr>
          </w:p>
          <w:p w:rsidR="00760F72" w:rsidRPr="00760F72" w:rsidRDefault="00760F72" w:rsidP="00760F72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760F72">
              <w:rPr>
                <w:sz w:val="20"/>
                <w:szCs w:val="20"/>
                <w:lang w:eastAsia="en-US"/>
              </w:rPr>
              <w:t>Zmiana terapii w obrębie II rzutu nie wymaga badania</w:t>
            </w:r>
          </w:p>
          <w:p w:rsidR="00612F48" w:rsidRDefault="006615A2" w:rsidP="00760F72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hemodynamicznego.</w:t>
            </w:r>
          </w:p>
          <w:p w:rsidR="00760F72" w:rsidRPr="00612F48" w:rsidRDefault="00760F72" w:rsidP="00760F72">
            <w:pPr>
              <w:widowControl w:val="0"/>
              <w:spacing w:before="6" w:line="276" w:lineRule="auto"/>
              <w:ind w:left="360"/>
              <w:rPr>
                <w:sz w:val="20"/>
                <w:szCs w:val="20"/>
                <w:lang w:eastAsia="en-US"/>
              </w:rPr>
            </w:pPr>
          </w:p>
          <w:p w:rsidR="00612F48" w:rsidRPr="00612F48" w:rsidRDefault="00612F48" w:rsidP="00760F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 xml:space="preserve">Skuteczność terapii ocenia się na podstawie cewnikowania prawego serca zgodnie z obowiązującymi standardami. </w:t>
            </w:r>
          </w:p>
          <w:p w:rsidR="00612F48" w:rsidRPr="00612F48" w:rsidRDefault="00612F48" w:rsidP="00612F48">
            <w:pPr>
              <w:widowControl w:val="0"/>
              <w:spacing w:before="6" w:line="276" w:lineRule="auto"/>
              <w:ind w:left="360"/>
              <w:rPr>
                <w:sz w:val="20"/>
                <w:szCs w:val="20"/>
                <w:lang w:eastAsia="en-US"/>
              </w:rPr>
            </w:pPr>
          </w:p>
          <w:p w:rsidR="007A0B79" w:rsidRPr="007A0B79" w:rsidRDefault="00472266" w:rsidP="0047226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7A0B79" w:rsidRPr="007A0B79">
              <w:rPr>
                <w:b/>
                <w:sz w:val="20"/>
                <w:szCs w:val="20"/>
              </w:rPr>
              <w:t xml:space="preserve">Monitorowanie programu: </w:t>
            </w:r>
          </w:p>
          <w:p w:rsidR="007A0B79" w:rsidRPr="007A0B79" w:rsidRDefault="007A0B79" w:rsidP="00183023">
            <w:pPr>
              <w:widowControl w:val="0"/>
              <w:numPr>
                <w:ilvl w:val="0"/>
                <w:numId w:val="34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7A0B79">
              <w:rPr>
                <w:sz w:val="20"/>
                <w:szCs w:val="20"/>
              </w:rPr>
              <w:t xml:space="preserve">gromadzenie w dokumentacji medycznej pacjenta danych dotyczących monitorowania leczenia i każdorazowe ich przedstawianie na żądanie kontrolerów  Narodowego </w:t>
            </w:r>
            <w:r w:rsidRPr="007A0B79">
              <w:rPr>
                <w:sz w:val="20"/>
                <w:szCs w:val="20"/>
              </w:rPr>
              <w:lastRenderedPageBreak/>
              <w:t>Funduszu Zdrowia;</w:t>
            </w:r>
          </w:p>
          <w:p w:rsidR="007A0B79" w:rsidRPr="007A0B79" w:rsidRDefault="007A0B79" w:rsidP="00183023">
            <w:pPr>
              <w:widowControl w:val="0"/>
              <w:numPr>
                <w:ilvl w:val="0"/>
                <w:numId w:val="34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7A0B79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</w:t>
            </w:r>
            <w:r w:rsidR="00D73BE6">
              <w:rPr>
                <w:sz w:val="20"/>
                <w:szCs w:val="20"/>
              </w:rPr>
              <w:t> </w:t>
            </w:r>
            <w:r w:rsidRPr="007A0B79">
              <w:rPr>
                <w:sz w:val="20"/>
                <w:szCs w:val="20"/>
              </w:rPr>
              <w:t>opisem programu oraz na zakończenie leczenia;</w:t>
            </w:r>
          </w:p>
          <w:p w:rsidR="007A0B79" w:rsidRPr="007A0B79" w:rsidRDefault="007A0B79" w:rsidP="00183023">
            <w:pPr>
              <w:widowControl w:val="0"/>
              <w:numPr>
                <w:ilvl w:val="0"/>
                <w:numId w:val="34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7A0B79">
              <w:rPr>
                <w:sz w:val="20"/>
                <w:szCs w:val="20"/>
              </w:rPr>
              <w:t>przekazywanie informacji sprawozdawczo-rozliczeniowych do NFZ: informacje przekazuje się do</w:t>
            </w:r>
            <w:r w:rsidR="00D73BE6">
              <w:rPr>
                <w:sz w:val="20"/>
                <w:szCs w:val="20"/>
              </w:rPr>
              <w:t> </w:t>
            </w:r>
            <w:r w:rsidRPr="007A0B79">
              <w:rPr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743C43" w:rsidRPr="00A8669E" w:rsidRDefault="00743C43" w:rsidP="00A8669E">
      <w:pPr>
        <w:rPr>
          <w:sz w:val="2"/>
          <w:szCs w:val="20"/>
        </w:rPr>
      </w:pPr>
    </w:p>
    <w:sectPr w:rsidR="00743C43" w:rsidRPr="00A8669E" w:rsidSect="00A06076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7D" w:rsidRDefault="00A8317D" w:rsidP="00C71DD3">
      <w:r>
        <w:separator/>
      </w:r>
    </w:p>
  </w:endnote>
  <w:endnote w:type="continuationSeparator" w:id="0">
    <w:p w:rsidR="00A8317D" w:rsidRDefault="00A8317D" w:rsidP="00C7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7D" w:rsidRDefault="00A8317D" w:rsidP="00C71DD3">
      <w:r>
        <w:separator/>
      </w:r>
    </w:p>
  </w:footnote>
  <w:footnote w:type="continuationSeparator" w:id="0">
    <w:p w:rsidR="00A8317D" w:rsidRDefault="00A8317D" w:rsidP="00C7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819"/>
    <w:multiLevelType w:val="hybridMultilevel"/>
    <w:tmpl w:val="4EBCFC24"/>
    <w:lvl w:ilvl="0" w:tplc="7386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1E45"/>
    <w:multiLevelType w:val="hybridMultilevel"/>
    <w:tmpl w:val="C9262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F265C"/>
    <w:multiLevelType w:val="hybridMultilevel"/>
    <w:tmpl w:val="90A8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46E"/>
    <w:multiLevelType w:val="hybridMultilevel"/>
    <w:tmpl w:val="C448ABB8"/>
    <w:lvl w:ilvl="0" w:tplc="6F44E7E4">
      <w:start w:val="1"/>
      <w:numFmt w:val="decimal"/>
      <w:lvlText w:val="1.%1"/>
      <w:lvlJc w:val="left"/>
      <w:pPr>
        <w:ind w:left="42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10DB66FA"/>
    <w:multiLevelType w:val="hybridMultilevel"/>
    <w:tmpl w:val="B4CA15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06579"/>
    <w:multiLevelType w:val="hybridMultilevel"/>
    <w:tmpl w:val="1AB85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7532D"/>
    <w:multiLevelType w:val="hybridMultilevel"/>
    <w:tmpl w:val="400A2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D69D4"/>
    <w:multiLevelType w:val="hybridMultilevel"/>
    <w:tmpl w:val="73E6A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94474"/>
    <w:multiLevelType w:val="hybridMultilevel"/>
    <w:tmpl w:val="986878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074A7"/>
    <w:multiLevelType w:val="hybridMultilevel"/>
    <w:tmpl w:val="151E77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7469F"/>
    <w:multiLevelType w:val="multilevel"/>
    <w:tmpl w:val="087009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1D69F8"/>
    <w:multiLevelType w:val="hybridMultilevel"/>
    <w:tmpl w:val="2D2A30F4"/>
    <w:lvl w:ilvl="0" w:tplc="6E1A3F1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B1AFE"/>
    <w:multiLevelType w:val="hybridMultilevel"/>
    <w:tmpl w:val="8F623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14E99"/>
    <w:multiLevelType w:val="hybridMultilevel"/>
    <w:tmpl w:val="69204B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F52A8"/>
    <w:multiLevelType w:val="hybridMultilevel"/>
    <w:tmpl w:val="8E3AB4D2"/>
    <w:lvl w:ilvl="0" w:tplc="42702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EF2D41"/>
    <w:multiLevelType w:val="hybridMultilevel"/>
    <w:tmpl w:val="B39CF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A589D"/>
    <w:multiLevelType w:val="hybridMultilevel"/>
    <w:tmpl w:val="82FEB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027E4"/>
    <w:multiLevelType w:val="hybridMultilevel"/>
    <w:tmpl w:val="261C5408"/>
    <w:lvl w:ilvl="0" w:tplc="261AFF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C62E9"/>
    <w:multiLevelType w:val="hybridMultilevel"/>
    <w:tmpl w:val="C25E42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22728"/>
    <w:multiLevelType w:val="hybridMultilevel"/>
    <w:tmpl w:val="A21EE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7230E"/>
    <w:multiLevelType w:val="hybridMultilevel"/>
    <w:tmpl w:val="73E6A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33867"/>
    <w:multiLevelType w:val="hybridMultilevel"/>
    <w:tmpl w:val="C5ACE0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112D6"/>
    <w:multiLevelType w:val="hybridMultilevel"/>
    <w:tmpl w:val="BFE0AD14"/>
    <w:lvl w:ilvl="0" w:tplc="7386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D14F1"/>
    <w:multiLevelType w:val="hybridMultilevel"/>
    <w:tmpl w:val="B1348790"/>
    <w:lvl w:ilvl="0" w:tplc="06F898D2">
      <w:start w:val="1"/>
      <w:numFmt w:val="upperRoman"/>
      <w:lvlText w:val="%1."/>
      <w:lvlJc w:val="right"/>
      <w:pPr>
        <w:ind w:left="114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 w15:restartNumberingAfterBreak="0">
    <w:nsid w:val="55A01239"/>
    <w:multiLevelType w:val="hybridMultilevel"/>
    <w:tmpl w:val="92EAA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02983"/>
    <w:multiLevelType w:val="hybridMultilevel"/>
    <w:tmpl w:val="C972C4DA"/>
    <w:lvl w:ilvl="0" w:tplc="562437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907C668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0774"/>
    <w:multiLevelType w:val="hybridMultilevel"/>
    <w:tmpl w:val="AA4E1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5548"/>
    <w:multiLevelType w:val="hybridMultilevel"/>
    <w:tmpl w:val="E19CA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67BAD"/>
    <w:multiLevelType w:val="hybridMultilevel"/>
    <w:tmpl w:val="E3F49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B17207"/>
    <w:multiLevelType w:val="hybridMultilevel"/>
    <w:tmpl w:val="A79A2E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263DB"/>
    <w:multiLevelType w:val="hybridMultilevel"/>
    <w:tmpl w:val="2A6A88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97069A"/>
    <w:multiLevelType w:val="hybridMultilevel"/>
    <w:tmpl w:val="AFA28B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C62FD"/>
    <w:multiLevelType w:val="hybridMultilevel"/>
    <w:tmpl w:val="B1D01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70EB4"/>
    <w:multiLevelType w:val="hybridMultilevel"/>
    <w:tmpl w:val="489291E8"/>
    <w:lvl w:ilvl="0" w:tplc="015EDA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AF56A3"/>
    <w:multiLevelType w:val="hybridMultilevel"/>
    <w:tmpl w:val="CDEE9FA6"/>
    <w:lvl w:ilvl="0" w:tplc="42702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0304063"/>
    <w:multiLevelType w:val="hybridMultilevel"/>
    <w:tmpl w:val="D09C86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DC4CC4"/>
    <w:multiLevelType w:val="hybridMultilevel"/>
    <w:tmpl w:val="5C328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92E99"/>
    <w:multiLevelType w:val="hybridMultilevel"/>
    <w:tmpl w:val="735050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486A90"/>
    <w:multiLevelType w:val="hybridMultilevel"/>
    <w:tmpl w:val="EA08E9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</w:num>
  <w:num w:numId="3">
    <w:abstractNumId w:val="10"/>
  </w:num>
  <w:num w:numId="4">
    <w:abstractNumId w:val="7"/>
  </w:num>
  <w:num w:numId="5">
    <w:abstractNumId w:val="38"/>
  </w:num>
  <w:num w:numId="6">
    <w:abstractNumId w:val="19"/>
  </w:num>
  <w:num w:numId="7">
    <w:abstractNumId w:val="4"/>
  </w:num>
  <w:num w:numId="8">
    <w:abstractNumId w:val="25"/>
  </w:num>
  <w:num w:numId="9">
    <w:abstractNumId w:val="34"/>
  </w:num>
  <w:num w:numId="10">
    <w:abstractNumId w:val="12"/>
  </w:num>
  <w:num w:numId="11">
    <w:abstractNumId w:val="13"/>
  </w:num>
  <w:num w:numId="12">
    <w:abstractNumId w:val="15"/>
  </w:num>
  <w:num w:numId="13">
    <w:abstractNumId w:val="37"/>
  </w:num>
  <w:num w:numId="14">
    <w:abstractNumId w:val="28"/>
  </w:num>
  <w:num w:numId="15">
    <w:abstractNumId w:val="29"/>
  </w:num>
  <w:num w:numId="16">
    <w:abstractNumId w:val="9"/>
  </w:num>
  <w:num w:numId="17">
    <w:abstractNumId w:val="1"/>
  </w:num>
  <w:num w:numId="18">
    <w:abstractNumId w:val="5"/>
  </w:num>
  <w:num w:numId="19">
    <w:abstractNumId w:val="31"/>
  </w:num>
  <w:num w:numId="20">
    <w:abstractNumId w:val="8"/>
  </w:num>
  <w:num w:numId="21">
    <w:abstractNumId w:val="35"/>
  </w:num>
  <w:num w:numId="22">
    <w:abstractNumId w:val="14"/>
  </w:num>
  <w:num w:numId="23">
    <w:abstractNumId w:val="6"/>
  </w:num>
  <w:num w:numId="24">
    <w:abstractNumId w:val="0"/>
  </w:num>
  <w:num w:numId="25">
    <w:abstractNumId w:val="22"/>
  </w:num>
  <w:num w:numId="26">
    <w:abstractNumId w:val="20"/>
  </w:num>
  <w:num w:numId="27">
    <w:abstractNumId w:val="21"/>
  </w:num>
  <w:num w:numId="28">
    <w:abstractNumId w:val="24"/>
  </w:num>
  <w:num w:numId="29">
    <w:abstractNumId w:val="32"/>
  </w:num>
  <w:num w:numId="30">
    <w:abstractNumId w:val="18"/>
  </w:num>
  <w:num w:numId="31">
    <w:abstractNumId w:val="3"/>
  </w:num>
  <w:num w:numId="32">
    <w:abstractNumId w:val="36"/>
  </w:num>
  <w:num w:numId="33">
    <w:abstractNumId w:val="17"/>
  </w:num>
  <w:num w:numId="34">
    <w:abstractNumId w:val="2"/>
  </w:num>
  <w:num w:numId="35">
    <w:abstractNumId w:val="23"/>
  </w:num>
  <w:num w:numId="36">
    <w:abstractNumId w:val="26"/>
  </w:num>
  <w:num w:numId="37">
    <w:abstractNumId w:val="11"/>
  </w:num>
  <w:num w:numId="38">
    <w:abstractNumId w:val="27"/>
  </w:num>
  <w:num w:numId="3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155E5"/>
    <w:rsid w:val="000316C2"/>
    <w:rsid w:val="000347B4"/>
    <w:rsid w:val="000357A7"/>
    <w:rsid w:val="00035DE7"/>
    <w:rsid w:val="00040926"/>
    <w:rsid w:val="0004209D"/>
    <w:rsid w:val="00050F22"/>
    <w:rsid w:val="000642B5"/>
    <w:rsid w:val="000659CD"/>
    <w:rsid w:val="00066941"/>
    <w:rsid w:val="00067E41"/>
    <w:rsid w:val="00077168"/>
    <w:rsid w:val="000850B3"/>
    <w:rsid w:val="000970FD"/>
    <w:rsid w:val="000A041F"/>
    <w:rsid w:val="000A11B3"/>
    <w:rsid w:val="000C4EBA"/>
    <w:rsid w:val="000D297D"/>
    <w:rsid w:val="000D570F"/>
    <w:rsid w:val="000E2C19"/>
    <w:rsid w:val="000E520E"/>
    <w:rsid w:val="000F001B"/>
    <w:rsid w:val="000F7FE6"/>
    <w:rsid w:val="001028D5"/>
    <w:rsid w:val="001046AB"/>
    <w:rsid w:val="00114BB7"/>
    <w:rsid w:val="00122037"/>
    <w:rsid w:val="00124ED1"/>
    <w:rsid w:val="00134B96"/>
    <w:rsid w:val="00137AEA"/>
    <w:rsid w:val="001417F2"/>
    <w:rsid w:val="001426AF"/>
    <w:rsid w:val="00143C8A"/>
    <w:rsid w:val="0014400A"/>
    <w:rsid w:val="00144C47"/>
    <w:rsid w:val="001465EE"/>
    <w:rsid w:val="00152609"/>
    <w:rsid w:val="00153E09"/>
    <w:rsid w:val="00177058"/>
    <w:rsid w:val="001771F3"/>
    <w:rsid w:val="00183023"/>
    <w:rsid w:val="001A51D3"/>
    <w:rsid w:val="001B27E1"/>
    <w:rsid w:val="001B4545"/>
    <w:rsid w:val="001B6AC3"/>
    <w:rsid w:val="001C12FC"/>
    <w:rsid w:val="001C577E"/>
    <w:rsid w:val="001C600E"/>
    <w:rsid w:val="001C6084"/>
    <w:rsid w:val="001D1D3C"/>
    <w:rsid w:val="001D26CC"/>
    <w:rsid w:val="001E12EE"/>
    <w:rsid w:val="001E4FAC"/>
    <w:rsid w:val="001F5DB2"/>
    <w:rsid w:val="001F6840"/>
    <w:rsid w:val="001F6BE7"/>
    <w:rsid w:val="002069A7"/>
    <w:rsid w:val="00221D34"/>
    <w:rsid w:val="00231093"/>
    <w:rsid w:val="0023185C"/>
    <w:rsid w:val="00236CE0"/>
    <w:rsid w:val="00237BCB"/>
    <w:rsid w:val="00240914"/>
    <w:rsid w:val="0024356F"/>
    <w:rsid w:val="00244A42"/>
    <w:rsid w:val="00246A65"/>
    <w:rsid w:val="00261ED8"/>
    <w:rsid w:val="00273010"/>
    <w:rsid w:val="002750E9"/>
    <w:rsid w:val="00276645"/>
    <w:rsid w:val="00276CB2"/>
    <w:rsid w:val="002853E3"/>
    <w:rsid w:val="002A046C"/>
    <w:rsid w:val="002C376B"/>
    <w:rsid w:val="002C754B"/>
    <w:rsid w:val="002D6556"/>
    <w:rsid w:val="002E0871"/>
    <w:rsid w:val="002E14E5"/>
    <w:rsid w:val="002E3866"/>
    <w:rsid w:val="002E6FD2"/>
    <w:rsid w:val="002F72AE"/>
    <w:rsid w:val="003004A8"/>
    <w:rsid w:val="003018B7"/>
    <w:rsid w:val="00307CC6"/>
    <w:rsid w:val="00315833"/>
    <w:rsid w:val="00320486"/>
    <w:rsid w:val="00320D76"/>
    <w:rsid w:val="003254C9"/>
    <w:rsid w:val="003365F1"/>
    <w:rsid w:val="00347215"/>
    <w:rsid w:val="00353FD7"/>
    <w:rsid w:val="00357EA5"/>
    <w:rsid w:val="00364F7D"/>
    <w:rsid w:val="0036723B"/>
    <w:rsid w:val="00367C29"/>
    <w:rsid w:val="003732E6"/>
    <w:rsid w:val="00375953"/>
    <w:rsid w:val="003830B4"/>
    <w:rsid w:val="00390647"/>
    <w:rsid w:val="003945E8"/>
    <w:rsid w:val="003A678D"/>
    <w:rsid w:val="003A6903"/>
    <w:rsid w:val="003A767F"/>
    <w:rsid w:val="003C2AF8"/>
    <w:rsid w:val="003D5CBA"/>
    <w:rsid w:val="003F2ACC"/>
    <w:rsid w:val="003F4A58"/>
    <w:rsid w:val="00401FFC"/>
    <w:rsid w:val="00422C1D"/>
    <w:rsid w:val="00426B72"/>
    <w:rsid w:val="004301CA"/>
    <w:rsid w:val="004311BB"/>
    <w:rsid w:val="00442851"/>
    <w:rsid w:val="00454394"/>
    <w:rsid w:val="004633B1"/>
    <w:rsid w:val="00472266"/>
    <w:rsid w:val="00472B65"/>
    <w:rsid w:val="00497A25"/>
    <w:rsid w:val="004A4560"/>
    <w:rsid w:val="004A7F6A"/>
    <w:rsid w:val="004C0843"/>
    <w:rsid w:val="004C4683"/>
    <w:rsid w:val="004C7201"/>
    <w:rsid w:val="004D13F8"/>
    <w:rsid w:val="004E21F8"/>
    <w:rsid w:val="004E2E0D"/>
    <w:rsid w:val="004E661F"/>
    <w:rsid w:val="004F1C83"/>
    <w:rsid w:val="004F2647"/>
    <w:rsid w:val="004F68A2"/>
    <w:rsid w:val="00512DEE"/>
    <w:rsid w:val="005206CC"/>
    <w:rsid w:val="00525A1F"/>
    <w:rsid w:val="005261E5"/>
    <w:rsid w:val="00543960"/>
    <w:rsid w:val="00544347"/>
    <w:rsid w:val="00552A72"/>
    <w:rsid w:val="00560949"/>
    <w:rsid w:val="00571B63"/>
    <w:rsid w:val="00581261"/>
    <w:rsid w:val="00581E5B"/>
    <w:rsid w:val="00584BE8"/>
    <w:rsid w:val="00592AD2"/>
    <w:rsid w:val="005A6E5B"/>
    <w:rsid w:val="005B09D0"/>
    <w:rsid w:val="005B1787"/>
    <w:rsid w:val="005B3F03"/>
    <w:rsid w:val="005C173D"/>
    <w:rsid w:val="005C5FAE"/>
    <w:rsid w:val="005D4509"/>
    <w:rsid w:val="005D6A1C"/>
    <w:rsid w:val="005D75D6"/>
    <w:rsid w:val="005E432B"/>
    <w:rsid w:val="005F3327"/>
    <w:rsid w:val="005F5596"/>
    <w:rsid w:val="005F75DD"/>
    <w:rsid w:val="00610AEA"/>
    <w:rsid w:val="00612872"/>
    <w:rsid w:val="00612F48"/>
    <w:rsid w:val="00617BCB"/>
    <w:rsid w:val="00627542"/>
    <w:rsid w:val="00630C94"/>
    <w:rsid w:val="00632670"/>
    <w:rsid w:val="0063776D"/>
    <w:rsid w:val="00647B78"/>
    <w:rsid w:val="006615A2"/>
    <w:rsid w:val="0067139A"/>
    <w:rsid w:val="0067374A"/>
    <w:rsid w:val="00677EBB"/>
    <w:rsid w:val="00687F3C"/>
    <w:rsid w:val="006A6DDE"/>
    <w:rsid w:val="006C6435"/>
    <w:rsid w:val="006D1F57"/>
    <w:rsid w:val="006D448A"/>
    <w:rsid w:val="006E27C7"/>
    <w:rsid w:val="006E43D9"/>
    <w:rsid w:val="006F76C4"/>
    <w:rsid w:val="00707C6B"/>
    <w:rsid w:val="00711DB1"/>
    <w:rsid w:val="00714F7D"/>
    <w:rsid w:val="00715335"/>
    <w:rsid w:val="00720577"/>
    <w:rsid w:val="00721851"/>
    <w:rsid w:val="00732C93"/>
    <w:rsid w:val="007371BB"/>
    <w:rsid w:val="00743C43"/>
    <w:rsid w:val="0074704B"/>
    <w:rsid w:val="007544AC"/>
    <w:rsid w:val="00760F72"/>
    <w:rsid w:val="00792E88"/>
    <w:rsid w:val="00795177"/>
    <w:rsid w:val="007A0B79"/>
    <w:rsid w:val="007B34F4"/>
    <w:rsid w:val="007B3B6F"/>
    <w:rsid w:val="007B615C"/>
    <w:rsid w:val="007D08D4"/>
    <w:rsid w:val="007D188D"/>
    <w:rsid w:val="007D762E"/>
    <w:rsid w:val="007E5912"/>
    <w:rsid w:val="007F722D"/>
    <w:rsid w:val="007F7D2F"/>
    <w:rsid w:val="008049E4"/>
    <w:rsid w:val="00805AC6"/>
    <w:rsid w:val="008159CD"/>
    <w:rsid w:val="00817787"/>
    <w:rsid w:val="00817FED"/>
    <w:rsid w:val="00827BB4"/>
    <w:rsid w:val="00832328"/>
    <w:rsid w:val="008350AB"/>
    <w:rsid w:val="00860A70"/>
    <w:rsid w:val="00863284"/>
    <w:rsid w:val="00863C98"/>
    <w:rsid w:val="008821A8"/>
    <w:rsid w:val="008A6051"/>
    <w:rsid w:val="008B34AB"/>
    <w:rsid w:val="008B3C26"/>
    <w:rsid w:val="008E5B75"/>
    <w:rsid w:val="008E79B7"/>
    <w:rsid w:val="008F41C4"/>
    <w:rsid w:val="008F4549"/>
    <w:rsid w:val="008F4CD0"/>
    <w:rsid w:val="008F7ECE"/>
    <w:rsid w:val="009007E8"/>
    <w:rsid w:val="0091089D"/>
    <w:rsid w:val="00922B83"/>
    <w:rsid w:val="00933F54"/>
    <w:rsid w:val="00942541"/>
    <w:rsid w:val="00946A2F"/>
    <w:rsid w:val="0095002A"/>
    <w:rsid w:val="009530A8"/>
    <w:rsid w:val="0098083F"/>
    <w:rsid w:val="009838C9"/>
    <w:rsid w:val="009A1302"/>
    <w:rsid w:val="009A13EC"/>
    <w:rsid w:val="009A338C"/>
    <w:rsid w:val="009A3D10"/>
    <w:rsid w:val="009A7836"/>
    <w:rsid w:val="009A7CAB"/>
    <w:rsid w:val="009B26FE"/>
    <w:rsid w:val="009E2489"/>
    <w:rsid w:val="009E7BF7"/>
    <w:rsid w:val="009F06FA"/>
    <w:rsid w:val="009F1944"/>
    <w:rsid w:val="00A06076"/>
    <w:rsid w:val="00A202D0"/>
    <w:rsid w:val="00A23F3F"/>
    <w:rsid w:val="00A3730E"/>
    <w:rsid w:val="00A431F4"/>
    <w:rsid w:val="00A4511F"/>
    <w:rsid w:val="00A455FC"/>
    <w:rsid w:val="00A50A85"/>
    <w:rsid w:val="00A5355C"/>
    <w:rsid w:val="00A656CA"/>
    <w:rsid w:val="00A82E56"/>
    <w:rsid w:val="00A8317D"/>
    <w:rsid w:val="00A842A1"/>
    <w:rsid w:val="00A84BA3"/>
    <w:rsid w:val="00A8669E"/>
    <w:rsid w:val="00A910DF"/>
    <w:rsid w:val="00A91853"/>
    <w:rsid w:val="00A92E53"/>
    <w:rsid w:val="00A96EE2"/>
    <w:rsid w:val="00AA160E"/>
    <w:rsid w:val="00AA1CB0"/>
    <w:rsid w:val="00AA3130"/>
    <w:rsid w:val="00AB2281"/>
    <w:rsid w:val="00AB342B"/>
    <w:rsid w:val="00AB69FA"/>
    <w:rsid w:val="00AC30CB"/>
    <w:rsid w:val="00AC3E18"/>
    <w:rsid w:val="00AC5604"/>
    <w:rsid w:val="00AD0C71"/>
    <w:rsid w:val="00AD1099"/>
    <w:rsid w:val="00AD23AB"/>
    <w:rsid w:val="00AD64F8"/>
    <w:rsid w:val="00AD792F"/>
    <w:rsid w:val="00AE262E"/>
    <w:rsid w:val="00AE3BB6"/>
    <w:rsid w:val="00AE5984"/>
    <w:rsid w:val="00AF18C0"/>
    <w:rsid w:val="00AF3EB7"/>
    <w:rsid w:val="00B01E02"/>
    <w:rsid w:val="00B04169"/>
    <w:rsid w:val="00B13533"/>
    <w:rsid w:val="00B13BE6"/>
    <w:rsid w:val="00B15091"/>
    <w:rsid w:val="00B15F0A"/>
    <w:rsid w:val="00B244A2"/>
    <w:rsid w:val="00B2463D"/>
    <w:rsid w:val="00B26024"/>
    <w:rsid w:val="00B33365"/>
    <w:rsid w:val="00B36057"/>
    <w:rsid w:val="00B43824"/>
    <w:rsid w:val="00B6517C"/>
    <w:rsid w:val="00B66433"/>
    <w:rsid w:val="00B66D95"/>
    <w:rsid w:val="00B6717F"/>
    <w:rsid w:val="00B91EF8"/>
    <w:rsid w:val="00B920D6"/>
    <w:rsid w:val="00B93DA7"/>
    <w:rsid w:val="00B9658D"/>
    <w:rsid w:val="00B977A2"/>
    <w:rsid w:val="00BA03E5"/>
    <w:rsid w:val="00BA09EC"/>
    <w:rsid w:val="00BA346A"/>
    <w:rsid w:val="00BA353C"/>
    <w:rsid w:val="00BA47C1"/>
    <w:rsid w:val="00BA5DA0"/>
    <w:rsid w:val="00BC0292"/>
    <w:rsid w:val="00BC28CD"/>
    <w:rsid w:val="00BC2EBE"/>
    <w:rsid w:val="00BE3C66"/>
    <w:rsid w:val="00BE5D06"/>
    <w:rsid w:val="00BF0695"/>
    <w:rsid w:val="00BF66F2"/>
    <w:rsid w:val="00BF7A8B"/>
    <w:rsid w:val="00C03F4F"/>
    <w:rsid w:val="00C10470"/>
    <w:rsid w:val="00C14466"/>
    <w:rsid w:val="00C164B3"/>
    <w:rsid w:val="00C17A2E"/>
    <w:rsid w:val="00C248C7"/>
    <w:rsid w:val="00C256F6"/>
    <w:rsid w:val="00C2602F"/>
    <w:rsid w:val="00C44AC0"/>
    <w:rsid w:val="00C47979"/>
    <w:rsid w:val="00C51A83"/>
    <w:rsid w:val="00C71DD3"/>
    <w:rsid w:val="00C74577"/>
    <w:rsid w:val="00C77310"/>
    <w:rsid w:val="00C83818"/>
    <w:rsid w:val="00C85668"/>
    <w:rsid w:val="00C87143"/>
    <w:rsid w:val="00C9639C"/>
    <w:rsid w:val="00CA491B"/>
    <w:rsid w:val="00CA558E"/>
    <w:rsid w:val="00CB16B7"/>
    <w:rsid w:val="00CB24C0"/>
    <w:rsid w:val="00CC3993"/>
    <w:rsid w:val="00CD5209"/>
    <w:rsid w:val="00CE4724"/>
    <w:rsid w:val="00CE7186"/>
    <w:rsid w:val="00CE7831"/>
    <w:rsid w:val="00CF4389"/>
    <w:rsid w:val="00D035EF"/>
    <w:rsid w:val="00D048CE"/>
    <w:rsid w:val="00D04A66"/>
    <w:rsid w:val="00D0655B"/>
    <w:rsid w:val="00D17064"/>
    <w:rsid w:val="00D246B5"/>
    <w:rsid w:val="00D24D72"/>
    <w:rsid w:val="00D25705"/>
    <w:rsid w:val="00D279F1"/>
    <w:rsid w:val="00D31AE9"/>
    <w:rsid w:val="00D341FA"/>
    <w:rsid w:val="00D3740F"/>
    <w:rsid w:val="00D45051"/>
    <w:rsid w:val="00D51E0C"/>
    <w:rsid w:val="00D52487"/>
    <w:rsid w:val="00D548B6"/>
    <w:rsid w:val="00D559E3"/>
    <w:rsid w:val="00D73BE6"/>
    <w:rsid w:val="00D76438"/>
    <w:rsid w:val="00D85690"/>
    <w:rsid w:val="00D933FF"/>
    <w:rsid w:val="00D94AFD"/>
    <w:rsid w:val="00DA5B94"/>
    <w:rsid w:val="00DA6460"/>
    <w:rsid w:val="00DB29CB"/>
    <w:rsid w:val="00DB76BD"/>
    <w:rsid w:val="00DC2F40"/>
    <w:rsid w:val="00DD0E25"/>
    <w:rsid w:val="00DD754D"/>
    <w:rsid w:val="00DE2BF6"/>
    <w:rsid w:val="00DE7D0C"/>
    <w:rsid w:val="00DF137F"/>
    <w:rsid w:val="00DF2823"/>
    <w:rsid w:val="00DF48D1"/>
    <w:rsid w:val="00DF7F70"/>
    <w:rsid w:val="00E00C67"/>
    <w:rsid w:val="00E00CEF"/>
    <w:rsid w:val="00E10B16"/>
    <w:rsid w:val="00E3563E"/>
    <w:rsid w:val="00E369B2"/>
    <w:rsid w:val="00E44FDB"/>
    <w:rsid w:val="00E4646B"/>
    <w:rsid w:val="00E50C4F"/>
    <w:rsid w:val="00E53EEF"/>
    <w:rsid w:val="00E576FF"/>
    <w:rsid w:val="00E679DB"/>
    <w:rsid w:val="00E726B6"/>
    <w:rsid w:val="00E73B2D"/>
    <w:rsid w:val="00E84339"/>
    <w:rsid w:val="00E844C2"/>
    <w:rsid w:val="00E87671"/>
    <w:rsid w:val="00E917B9"/>
    <w:rsid w:val="00E91B89"/>
    <w:rsid w:val="00E94D36"/>
    <w:rsid w:val="00EA10B4"/>
    <w:rsid w:val="00EA3E68"/>
    <w:rsid w:val="00EC2D7B"/>
    <w:rsid w:val="00ED75A0"/>
    <w:rsid w:val="00EF0AAD"/>
    <w:rsid w:val="00EF26CE"/>
    <w:rsid w:val="00F0158C"/>
    <w:rsid w:val="00F07E96"/>
    <w:rsid w:val="00F12A4A"/>
    <w:rsid w:val="00F231E3"/>
    <w:rsid w:val="00F23972"/>
    <w:rsid w:val="00F3005E"/>
    <w:rsid w:val="00F35A1F"/>
    <w:rsid w:val="00F363F5"/>
    <w:rsid w:val="00F409A7"/>
    <w:rsid w:val="00F41B95"/>
    <w:rsid w:val="00F54B3F"/>
    <w:rsid w:val="00F56358"/>
    <w:rsid w:val="00F5643A"/>
    <w:rsid w:val="00F61654"/>
    <w:rsid w:val="00F73465"/>
    <w:rsid w:val="00F73782"/>
    <w:rsid w:val="00F73840"/>
    <w:rsid w:val="00F85FD0"/>
    <w:rsid w:val="00F938A8"/>
    <w:rsid w:val="00F95DBE"/>
    <w:rsid w:val="00FA28D5"/>
    <w:rsid w:val="00FA41A1"/>
    <w:rsid w:val="00FA4820"/>
    <w:rsid w:val="00FA4CA3"/>
    <w:rsid w:val="00FA6A11"/>
    <w:rsid w:val="00FB11F9"/>
    <w:rsid w:val="00FB4A35"/>
    <w:rsid w:val="00FC08EE"/>
    <w:rsid w:val="00FC7652"/>
    <w:rsid w:val="00FD1EEE"/>
    <w:rsid w:val="00FD608A"/>
    <w:rsid w:val="00FE2D00"/>
    <w:rsid w:val="00FE5181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06218CAB-F25E-4CEC-9885-8F43200E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41B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41B9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A6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6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A6DDE"/>
  </w:style>
  <w:style w:type="paragraph" w:styleId="Tematkomentarza">
    <w:name w:val="annotation subject"/>
    <w:basedOn w:val="Tekstkomentarza"/>
    <w:next w:val="Tekstkomentarza"/>
    <w:link w:val="TematkomentarzaZnak"/>
    <w:rsid w:val="006A6DDE"/>
    <w:rPr>
      <w:b/>
      <w:bCs/>
    </w:rPr>
  </w:style>
  <w:style w:type="character" w:customStyle="1" w:styleId="TematkomentarzaZnak">
    <w:name w:val="Temat komentarza Znak"/>
    <w:link w:val="Tematkomentarza"/>
    <w:rsid w:val="006A6DDE"/>
    <w:rPr>
      <w:b/>
      <w:bCs/>
    </w:rPr>
  </w:style>
  <w:style w:type="paragraph" w:styleId="Nagwek">
    <w:name w:val="header"/>
    <w:basedOn w:val="Normalny"/>
    <w:link w:val="NagwekZnak"/>
    <w:rsid w:val="00C71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71D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1D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1D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F26CE"/>
    <w:pPr>
      <w:ind w:left="720"/>
      <w:contextualSpacing/>
    </w:pPr>
  </w:style>
  <w:style w:type="paragraph" w:styleId="Poprawka">
    <w:name w:val="Revision"/>
    <w:hidden/>
    <w:uiPriority w:val="99"/>
    <w:semiHidden/>
    <w:rsid w:val="001417F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F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D035EF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0F2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7895-DE6A-499C-8192-84C40F79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2011</Words>
  <Characters>12832</Characters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2018-02-06T12:49:00Z</cp:lastPrinted>
  <dcterms:created xsi:type="dcterms:W3CDTF">2018-02-20T07:54:00Z</dcterms:created>
  <dcterms:modified xsi:type="dcterms:W3CDTF">2018-02-20T15:11:00Z</dcterms:modified>
</cp:coreProperties>
</file>