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FD" w:rsidRDefault="0015336C" w:rsidP="006501FD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Załącznik B.97</w:t>
      </w:r>
      <w:r w:rsidR="006501FD" w:rsidRPr="006501F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6501FD" w:rsidRPr="006501FD" w:rsidRDefault="006501FD" w:rsidP="006501FD">
      <w:pPr>
        <w:tabs>
          <w:tab w:val="left" w:pos="58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6E4C" w:rsidRPr="009B6E4C" w:rsidRDefault="009B6E4C" w:rsidP="006501FD">
      <w:pPr>
        <w:tabs>
          <w:tab w:val="left" w:pos="5865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9B6E4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LECZENIE</w:t>
      </w:r>
      <w:r w:rsidR="0015336C" w:rsidRPr="0015336C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DOROSŁYCH CHORYCH NA PIERWOTNĄ MAŁOPŁYTKOWOŚĆ IMMUNOLOGICZNĄ (ICD-10 D69.3)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79"/>
        <w:gridCol w:w="5217"/>
        <w:gridCol w:w="4992"/>
      </w:tblGrid>
      <w:tr w:rsidR="0015336C" w:rsidRPr="00E11FFB" w:rsidTr="002739CF">
        <w:trPr>
          <w:trHeight w:val="411"/>
        </w:trPr>
        <w:tc>
          <w:tcPr>
            <w:tcW w:w="5000" w:type="pct"/>
            <w:gridSpan w:val="3"/>
            <w:vAlign w:val="center"/>
          </w:tcPr>
          <w:p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ZAKRES ŚWIADCZENIA GWARANTOWANEGO</w:t>
            </w:r>
          </w:p>
        </w:tc>
      </w:tr>
      <w:tr w:rsidR="0015336C" w:rsidRPr="00E11FFB" w:rsidTr="002739CF">
        <w:trPr>
          <w:trHeight w:val="543"/>
        </w:trPr>
        <w:tc>
          <w:tcPr>
            <w:tcW w:w="1683" w:type="pct"/>
            <w:vAlign w:val="center"/>
          </w:tcPr>
          <w:p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ŚWIADCZENIOBIORCY</w:t>
            </w:r>
          </w:p>
        </w:tc>
        <w:tc>
          <w:tcPr>
            <w:tcW w:w="1695" w:type="pct"/>
            <w:vAlign w:val="center"/>
          </w:tcPr>
          <w:p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SCHEMAT DAWKOWANIA LEKÓW</w:t>
            </w:r>
          </w:p>
          <w:p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 PROGRAMIE</w:t>
            </w:r>
          </w:p>
        </w:tc>
        <w:tc>
          <w:tcPr>
            <w:tcW w:w="1622" w:type="pct"/>
            <w:vAlign w:val="center"/>
          </w:tcPr>
          <w:p w:rsidR="0015336C" w:rsidRPr="0015336C" w:rsidRDefault="0015336C" w:rsidP="002739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BADANIA DIAGNOSTYCZNE WYKONYWANE W RAMACH PROGRAMU</w:t>
            </w:r>
          </w:p>
        </w:tc>
      </w:tr>
      <w:tr w:rsidR="0015336C" w:rsidRPr="0015336C" w:rsidTr="002739CF">
        <w:trPr>
          <w:trHeight w:val="283"/>
        </w:trPr>
        <w:tc>
          <w:tcPr>
            <w:tcW w:w="1683" w:type="pct"/>
          </w:tcPr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31"/>
              </w:numPr>
              <w:spacing w:before="120" w:after="120" w:line="276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Kryteria kwalifikacji: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wiek: 18 lat i powyżej;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rozpoznanie pierwotnej małopłytkowości immunologicznej (ITP);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niedostateczna odpowiedź na leczenie farmakologiczne np. kortykosteroidy, dożylne immunoglobuliny;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5"/>
              </w:numPr>
              <w:spacing w:line="276" w:lineRule="auto"/>
              <w:ind w:left="4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nieskuteczność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splenektomii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objawiająca się liczbą płytek poniżej 30 000/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μl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 i objawami skazy krwotocznej.</w:t>
            </w:r>
          </w:p>
          <w:p w:rsidR="0015336C" w:rsidRPr="0015336C" w:rsidRDefault="0015336C" w:rsidP="001533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Kryteria kwalifikacji muszą być spełnione łącznie.</w:t>
            </w:r>
          </w:p>
          <w:p w:rsidR="0015336C" w:rsidRPr="0015336C" w:rsidRDefault="0015336C" w:rsidP="0015336C">
            <w:pPr>
              <w:spacing w:before="120"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bCs/>
                <w:sz w:val="20"/>
                <w:szCs w:val="20"/>
              </w:rPr>
              <w:t>Dodatkowo, w celu kontynuacji terapii do programu lekowego mogą zostać zakwalifikowani pacjenci leczeni w ramach programu lekowego „Leczenie pediatrycznych chorych na przewlekłą pierwotną małopłytkowość immunologiczną (ICD-10 D69.3)”, którzy osiągnęli pełnoletniość, bez konieczności spełnienia pozostałych kryteriów kwalifikacji do programu lekowego</w:t>
            </w:r>
          </w:p>
          <w:p w:rsidR="0015336C" w:rsidRPr="0015336C" w:rsidRDefault="0015336C" w:rsidP="0015336C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bCs/>
                <w:sz w:val="20"/>
                <w:szCs w:val="20"/>
              </w:rPr>
              <w:t>- pod warunkiem niespełniania kryteriów wyłączenia z programu.</w:t>
            </w:r>
          </w:p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31"/>
              </w:numPr>
              <w:spacing w:before="120" w:after="120" w:line="276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Określenie czasu leczenia w programie:</w:t>
            </w:r>
          </w:p>
          <w:p w:rsidR="0015336C" w:rsidRPr="0015336C" w:rsidRDefault="0015336C" w:rsidP="0015336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Leczenie trwa do czasu podjęcia przez lekarza prowadzącego decyzji o wyłączeniu pacjenta z programu, zgodnie z kryteriami wyłączenia z programu określonymi w ust. 3.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1"/>
              </w:numPr>
              <w:spacing w:before="120" w:after="120" w:line="276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Kryteria wyłączenia z programu: 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6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nadwrażliwość</w:t>
            </w: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</w:t>
            </w:r>
            <w:proofErr w:type="spellStart"/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>eltrombopag</w:t>
            </w:r>
            <w:proofErr w:type="spellEnd"/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lub 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którąkolwiek</w:t>
            </w: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substancję pomocniczą;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6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zaburzenia</w:t>
            </w: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czynności  wątroby w skali Child-</w:t>
            </w:r>
            <w:proofErr w:type="spellStart"/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>Pugh</w:t>
            </w:r>
            <w:proofErr w:type="spellEnd"/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≥ 5;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8"/>
              </w:numPr>
              <w:spacing w:line="276" w:lineRule="auto"/>
              <w:ind w:left="46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istotne zwiększenie się aktywności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(powyżej trzykrotności górnej granicy normy</w:t>
            </w:r>
            <w:r w:rsidRPr="0015336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dla lokalnego laboratorium) w przypadkach, gdy przekroczenie normy: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4"/>
              </w:numPr>
              <w:spacing w:line="276" w:lineRule="auto"/>
              <w:ind w:left="10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będzie narastać</w:t>
            </w:r>
          </w:p>
          <w:p w:rsidR="0015336C" w:rsidRPr="0015336C" w:rsidRDefault="0015336C" w:rsidP="0015336C">
            <w:pPr>
              <w:pStyle w:val="Akapitzlist"/>
              <w:spacing w:line="276" w:lineRule="auto"/>
              <w:ind w:left="851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4"/>
              </w:numPr>
              <w:spacing w:line="276" w:lineRule="auto"/>
              <w:ind w:left="10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będzie utrzymywać się ≥ 4 tygodni, </w:t>
            </w:r>
          </w:p>
          <w:p w:rsidR="0015336C" w:rsidRPr="0015336C" w:rsidRDefault="0015336C" w:rsidP="0015336C">
            <w:pPr>
              <w:pStyle w:val="Akapitzlist"/>
              <w:spacing w:line="276" w:lineRule="auto"/>
              <w:ind w:left="1170" w:hanging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albo 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4"/>
              </w:numPr>
              <w:spacing w:line="276" w:lineRule="auto"/>
              <w:ind w:left="10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będzie związane ze zwiększeniem stężenia bilirubiny bezpośredniej,</w:t>
            </w:r>
          </w:p>
          <w:p w:rsidR="0015336C" w:rsidRPr="0015336C" w:rsidRDefault="0015336C" w:rsidP="0015336C">
            <w:pPr>
              <w:pStyle w:val="Akapitzlist"/>
              <w:spacing w:after="200" w:line="276" w:lineRule="auto"/>
              <w:ind w:left="1170" w:hanging="461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4"/>
              </w:numPr>
              <w:spacing w:after="200" w:line="276" w:lineRule="auto"/>
              <w:ind w:left="102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będzie związane z objawami klinicznymi uszkodzenia wątroby lub objawami dekompensacji wątroby;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ciąża;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8"/>
              </w:numPr>
              <w:spacing w:after="200" w:line="276" w:lineRule="auto"/>
              <w:ind w:left="461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karmienie piersią;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8"/>
              </w:numPr>
              <w:spacing w:after="120" w:line="276" w:lineRule="auto"/>
              <w:ind w:left="460" w:hanging="28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odpowiedzi na leczenie </w:t>
            </w:r>
            <w:proofErr w:type="spellStart"/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>eltrombopagiem</w:t>
            </w:r>
            <w:proofErr w:type="spellEnd"/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w dawce 75 mg podawanej przez 4 kolejne tygodnie leczenia (4 pomiary).</w:t>
            </w:r>
          </w:p>
          <w:p w:rsidR="0015336C" w:rsidRPr="0015336C" w:rsidRDefault="0015336C" w:rsidP="0015336C">
            <w:pPr>
              <w:pStyle w:val="Akapitzlist"/>
              <w:spacing w:after="200" w:line="276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5" w:type="pct"/>
          </w:tcPr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32"/>
              </w:numPr>
              <w:spacing w:before="120" w:after="120" w:line="276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Dawkowanie </w:t>
            </w:r>
            <w:proofErr w:type="spellStart"/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eltrombopagu</w:t>
            </w:r>
            <w:proofErr w:type="spellEnd"/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9"/>
              </w:numPr>
              <w:spacing w:after="100" w:afterAutospacing="1" w:line="276" w:lineRule="auto"/>
              <w:ind w:left="46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zalecana dawka początkowa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eltrombopagu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wynosi 50 mg raz na dobę;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9"/>
              </w:numPr>
              <w:spacing w:after="100" w:afterAutospacing="1" w:line="276" w:lineRule="auto"/>
              <w:ind w:left="45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dawkę leku ustala się indywidualnie w zależności od liczby płytek krwi u pacjenta – sposób modyfikacji dawkowania oraz postępowanie w okresie czasowego przerwania leczenia zostały określone w aktualnej Charakterystyce Produktu Leczniczego. </w:t>
            </w:r>
          </w:p>
          <w:p w:rsidR="0015336C" w:rsidRPr="0015336C" w:rsidRDefault="0015336C" w:rsidP="0015336C">
            <w:pPr>
              <w:pStyle w:val="Akapitzlist"/>
              <w:spacing w:after="100" w:afterAutospacing="1" w:line="276" w:lineRule="auto"/>
              <w:ind w:left="45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336C" w:rsidRPr="0015336C" w:rsidRDefault="0015336C" w:rsidP="0015336C">
            <w:pPr>
              <w:pStyle w:val="Akapitzlist"/>
              <w:spacing w:after="200" w:line="276" w:lineRule="auto"/>
              <w:ind w:left="4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pct"/>
          </w:tcPr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Badania przy kwalifikacji do leczenia </w:t>
            </w:r>
            <w:proofErr w:type="spellStart"/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eltrombopagiem</w:t>
            </w:r>
            <w:proofErr w:type="spellEnd"/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morfologia krwi z rozmazem;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58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parametry czynności wątroby (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,  bilirubina całkowita, fosfataza alkaliczna);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3"/>
              </w:numPr>
              <w:spacing w:line="276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badania umożliwiające wykluczenie innych stanów klinicznych przebiegających z małopłytkowością;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ind w:left="460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biopsja aspiracyjna szpiku i 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trepanobiopsja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– w przypadku chorych w wieku powyżej 60 lat, z objawami układowymi i innymi nieprawidłowymi objawami; 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3"/>
              </w:numPr>
              <w:spacing w:after="200" w:line="276" w:lineRule="auto"/>
              <w:ind w:left="458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badanie okulistyczne;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3"/>
              </w:numPr>
              <w:spacing w:after="120" w:line="276" w:lineRule="auto"/>
              <w:ind w:left="460" w:hanging="284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test ciążowy u kobiet w wieku rozrodczym.</w:t>
            </w:r>
          </w:p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30"/>
              </w:numPr>
              <w:spacing w:before="120" w:after="120" w:line="276" w:lineRule="auto"/>
              <w:ind w:left="357" w:hanging="357"/>
              <w:contextualSpacing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Monitorowanie leczenia: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461" w:hanging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badania przeprowadzane w okresie do osiągnięcia stabilnej liczby płytek 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(≥ 50 000/µl przez co najmniej 4 tygodnie):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6"/>
              </w:numPr>
              <w:spacing w:line="276" w:lineRule="auto"/>
              <w:ind w:left="745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wykonywane co 1 tydzień:</w:t>
            </w:r>
          </w:p>
          <w:p w:rsidR="0015336C" w:rsidRPr="0015336C" w:rsidRDefault="0015336C" w:rsidP="0015336C">
            <w:pPr>
              <w:spacing w:line="276" w:lineRule="auto"/>
              <w:ind w:firstLine="1028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- morfologia krwi z rozmazem,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6"/>
              </w:numPr>
              <w:spacing w:line="276" w:lineRule="auto"/>
              <w:ind w:left="745" w:hanging="28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wykonywane co 2 tygodnie:</w:t>
            </w:r>
          </w:p>
          <w:p w:rsidR="0015336C" w:rsidRPr="0015336C" w:rsidRDefault="0015336C" w:rsidP="0015336C">
            <w:pPr>
              <w:spacing w:line="276" w:lineRule="auto"/>
              <w:ind w:left="1028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-  parametry czynności wątroby (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, bilirubina całkowita, fosfataza alkaliczna),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461" w:hanging="286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badania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przeprowadzane po uzyskaniu stabilnej liczby płytek: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6"/>
              </w:numPr>
              <w:spacing w:line="276" w:lineRule="auto"/>
              <w:ind w:left="745" w:hanging="284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wykonywane co 1 miesiąc:</w:t>
            </w:r>
          </w:p>
          <w:p w:rsidR="0015336C" w:rsidRPr="0015336C" w:rsidRDefault="0015336C" w:rsidP="0015336C">
            <w:pPr>
              <w:spacing w:line="276" w:lineRule="auto"/>
              <w:ind w:left="1028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- morfologia krwi z rozmazem,</w:t>
            </w:r>
          </w:p>
          <w:p w:rsidR="0015336C" w:rsidRPr="0015336C" w:rsidRDefault="0015336C" w:rsidP="0015336C">
            <w:pPr>
              <w:pStyle w:val="Akapitzlist"/>
              <w:spacing w:after="200" w:line="276" w:lineRule="auto"/>
              <w:ind w:left="1026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- parametry czynności wątroby (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AlAT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AspAT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, bilirubina całkowita, fosfataza alkaliczna);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ind w:left="461" w:hanging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>badania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przeprowadzane w przypadku </w:t>
            </w: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>wystąpienia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 nowych lub postępujących nieprawidłowości morfologicznych lub </w:t>
            </w:r>
            <w:proofErr w:type="spellStart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cytopenii</w:t>
            </w:r>
            <w:proofErr w:type="spellEnd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6"/>
              </w:numPr>
              <w:spacing w:after="200" w:line="276" w:lineRule="auto"/>
              <w:ind w:left="745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biopsja szpiku kostnego z barwieniem oceniającym włóknienie;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61" w:hanging="28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badania przeprowadzane w okresie czasowego przerwania leczenia: </w:t>
            </w:r>
          </w:p>
          <w:p w:rsidR="0015336C" w:rsidRPr="0015336C" w:rsidRDefault="0015336C" w:rsidP="0015336C">
            <w:pPr>
              <w:pStyle w:val="Akapitzlist"/>
              <w:numPr>
                <w:ilvl w:val="1"/>
                <w:numId w:val="36"/>
              </w:numPr>
              <w:spacing w:after="200" w:line="276" w:lineRule="auto"/>
              <w:ind w:left="745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wykonywane</w:t>
            </w:r>
            <w:r w:rsidRPr="00153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dwa razy w tygodniu przez 4 tygodnie:</w:t>
            </w:r>
          </w:p>
          <w:p w:rsidR="0015336C" w:rsidRPr="0015336C" w:rsidRDefault="0015336C" w:rsidP="0015336C">
            <w:pPr>
              <w:pStyle w:val="Akapitzlist"/>
              <w:spacing w:after="200" w:line="276" w:lineRule="auto"/>
              <w:ind w:left="10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 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morfologia</w:t>
            </w:r>
            <w:r w:rsidRPr="00153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krwi z rozmazem;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6"/>
              </w:numPr>
              <w:spacing w:line="276" w:lineRule="auto"/>
              <w:ind w:left="461" w:hanging="28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iCs/>
                <w:sz w:val="20"/>
                <w:szCs w:val="20"/>
              </w:rPr>
              <w:t>badanie wykonywane co 3 miesiące: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7"/>
              </w:numPr>
              <w:spacing w:line="276" w:lineRule="auto"/>
              <w:ind w:left="745" w:hanging="259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okresowa</w:t>
            </w:r>
            <w:r w:rsidRPr="0015336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kontrola okulistyczna.</w:t>
            </w:r>
          </w:p>
          <w:p w:rsidR="0015336C" w:rsidRPr="0015336C" w:rsidRDefault="0015336C" w:rsidP="0015336C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 w:line="276" w:lineRule="auto"/>
              <w:ind w:left="357" w:hanging="357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b/>
                <w:sz w:val="20"/>
                <w:szCs w:val="20"/>
              </w:rPr>
              <w:t>Monitorowanie programu:</w:t>
            </w:r>
          </w:p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40"/>
              </w:num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przekazywanie do NFZ zakresu informacji sprawozdawczo – rozliczeniowych w formie papierowej lub w formie elektronicznej, zgodnie z wymaganiami opublikowanymi przez Narodowy Fundusz Zdrowia;</w:t>
            </w:r>
          </w:p>
          <w:p w:rsidR="0015336C" w:rsidRPr="0015336C" w:rsidRDefault="0015336C" w:rsidP="0015336C">
            <w:pPr>
              <w:pStyle w:val="Akapitzlist"/>
              <w:widowControl w:val="0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uzupełnianie danych zawartych w rejestrze pierwotnej małopłytkowości immunologicznej (SMPT - ITP), dostępnym za pomocą aplikacji internetowej udostępnionej przez OW NFZ, nie rzadziej niż co 3 miesiące oraz na zakończenie leczenia.</w:t>
            </w:r>
          </w:p>
          <w:p w:rsidR="0015336C" w:rsidRPr="0015336C" w:rsidRDefault="0015336C" w:rsidP="0015336C">
            <w:pPr>
              <w:widowControl w:val="0"/>
              <w:spacing w:after="20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5336C">
              <w:rPr>
                <w:rFonts w:ascii="Times New Roman" w:hAnsi="Times New Roman" w:cs="Times New Roman"/>
                <w:sz w:val="20"/>
                <w:szCs w:val="20"/>
              </w:rPr>
              <w:t>Dane dotyczące mo</w:t>
            </w:r>
            <w:bookmarkStart w:id="0" w:name="_GoBack"/>
            <w:bookmarkEnd w:id="0"/>
            <w:r w:rsidRPr="0015336C">
              <w:rPr>
                <w:rFonts w:ascii="Times New Roman" w:hAnsi="Times New Roman" w:cs="Times New Roman"/>
                <w:sz w:val="20"/>
                <w:szCs w:val="20"/>
              </w:rPr>
              <w:t xml:space="preserve">nitorowania leczenia należy gromadzić </w:t>
            </w:r>
            <w:r w:rsidRPr="001533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dokumentacji pacjenta i każdorazowo przedstawiać na żądanie kontrolerom NFZ.</w:t>
            </w:r>
          </w:p>
        </w:tc>
      </w:tr>
    </w:tbl>
    <w:p w:rsidR="00097CEA" w:rsidRPr="0015336C" w:rsidRDefault="00097CEA" w:rsidP="0015336C">
      <w:pPr>
        <w:rPr>
          <w:rFonts w:ascii="Times New Roman" w:hAnsi="Times New Roman" w:cs="Times New Roman"/>
          <w:sz w:val="20"/>
          <w:szCs w:val="20"/>
        </w:rPr>
      </w:pPr>
    </w:p>
    <w:sectPr w:rsidR="00097CEA" w:rsidRPr="0015336C" w:rsidSect="006501FD">
      <w:footerReference w:type="default" r:id="rId8"/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08" w:rsidRDefault="00AE5D08" w:rsidP="00EA1DA5">
      <w:pPr>
        <w:spacing w:after="0" w:line="240" w:lineRule="auto"/>
      </w:pPr>
      <w:r>
        <w:separator/>
      </w:r>
    </w:p>
  </w:endnote>
  <w:endnote w:type="continuationSeparator" w:id="0">
    <w:p w:rsidR="00AE5D08" w:rsidRDefault="00AE5D08" w:rsidP="00EA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5C" w:rsidRDefault="00FD2B5C">
    <w:pPr>
      <w:pStyle w:val="Stopka"/>
    </w:pPr>
  </w:p>
  <w:p w:rsidR="00CD3F29" w:rsidRPr="001B56AA" w:rsidRDefault="00CD3F29" w:rsidP="001B56AA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08" w:rsidRDefault="00AE5D08" w:rsidP="00EA1DA5">
      <w:pPr>
        <w:spacing w:after="0" w:line="240" w:lineRule="auto"/>
      </w:pPr>
      <w:r>
        <w:separator/>
      </w:r>
    </w:p>
  </w:footnote>
  <w:footnote w:type="continuationSeparator" w:id="0">
    <w:p w:rsidR="00AE5D08" w:rsidRDefault="00AE5D08" w:rsidP="00EA1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3F"/>
    <w:multiLevelType w:val="hybridMultilevel"/>
    <w:tmpl w:val="E9C61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04A9F"/>
    <w:multiLevelType w:val="hybridMultilevel"/>
    <w:tmpl w:val="AE324330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090099C"/>
    <w:multiLevelType w:val="hybridMultilevel"/>
    <w:tmpl w:val="AB2EA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39FB"/>
    <w:multiLevelType w:val="hybridMultilevel"/>
    <w:tmpl w:val="E228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92663"/>
    <w:multiLevelType w:val="hybridMultilevel"/>
    <w:tmpl w:val="B9C446CA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B8C7400"/>
    <w:multiLevelType w:val="hybridMultilevel"/>
    <w:tmpl w:val="0D468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0692"/>
    <w:multiLevelType w:val="hybridMultilevel"/>
    <w:tmpl w:val="12ACA0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64E21"/>
    <w:multiLevelType w:val="hybridMultilevel"/>
    <w:tmpl w:val="FE64ED4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A5546A0"/>
    <w:multiLevelType w:val="multilevel"/>
    <w:tmpl w:val="9A621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282E6A"/>
    <w:multiLevelType w:val="hybridMultilevel"/>
    <w:tmpl w:val="A9F23BA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2E4D76F1"/>
    <w:multiLevelType w:val="hybridMultilevel"/>
    <w:tmpl w:val="46629C34"/>
    <w:lvl w:ilvl="0" w:tplc="E83247B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FB86467"/>
    <w:multiLevelType w:val="hybridMultilevel"/>
    <w:tmpl w:val="AE324330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2FE93483"/>
    <w:multiLevelType w:val="hybridMultilevel"/>
    <w:tmpl w:val="A10AA76A"/>
    <w:lvl w:ilvl="0" w:tplc="19DEA458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D0308"/>
    <w:multiLevelType w:val="hybridMultilevel"/>
    <w:tmpl w:val="08E6C8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52211E"/>
    <w:multiLevelType w:val="hybridMultilevel"/>
    <w:tmpl w:val="6BAACEE2"/>
    <w:lvl w:ilvl="0" w:tplc="209EA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B7630"/>
    <w:multiLevelType w:val="hybridMultilevel"/>
    <w:tmpl w:val="D248CF18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A1834FC"/>
    <w:multiLevelType w:val="multilevel"/>
    <w:tmpl w:val="C32C11A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455A1C"/>
    <w:multiLevelType w:val="hybridMultilevel"/>
    <w:tmpl w:val="5BBC92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175F7"/>
    <w:multiLevelType w:val="multilevel"/>
    <w:tmpl w:val="9D069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EAF4E5B"/>
    <w:multiLevelType w:val="hybridMultilevel"/>
    <w:tmpl w:val="0336677C"/>
    <w:lvl w:ilvl="0" w:tplc="987C533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B0D40"/>
    <w:multiLevelType w:val="hybridMultilevel"/>
    <w:tmpl w:val="F940C9A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F5D6E7D"/>
    <w:multiLevelType w:val="hybridMultilevel"/>
    <w:tmpl w:val="0360B574"/>
    <w:lvl w:ilvl="0" w:tplc="A0A0AAEC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D2FF7"/>
    <w:multiLevelType w:val="hybridMultilevel"/>
    <w:tmpl w:val="CDC814D2"/>
    <w:lvl w:ilvl="0" w:tplc="11C65C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7277D"/>
    <w:multiLevelType w:val="hybridMultilevel"/>
    <w:tmpl w:val="3FC0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E66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786C21"/>
    <w:multiLevelType w:val="hybridMultilevel"/>
    <w:tmpl w:val="FE20C318"/>
    <w:lvl w:ilvl="0" w:tplc="A0CAD744">
      <w:start w:val="1"/>
      <w:numFmt w:val="bullet"/>
      <w:lvlText w:val=""/>
      <w:lvlJc w:val="left"/>
      <w:pPr>
        <w:ind w:left="16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26" w15:restartNumberingAfterBreak="0">
    <w:nsid w:val="63366CD0"/>
    <w:multiLevelType w:val="hybridMultilevel"/>
    <w:tmpl w:val="53FC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B1C8D"/>
    <w:multiLevelType w:val="hybridMultilevel"/>
    <w:tmpl w:val="FCCCB662"/>
    <w:lvl w:ilvl="0" w:tplc="E5CC5B82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07B2"/>
    <w:multiLevelType w:val="hybridMultilevel"/>
    <w:tmpl w:val="53FC5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44CCA"/>
    <w:multiLevelType w:val="hybridMultilevel"/>
    <w:tmpl w:val="DFF8F062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80974E0"/>
    <w:multiLevelType w:val="hybridMultilevel"/>
    <w:tmpl w:val="EB9EBCEA"/>
    <w:lvl w:ilvl="0" w:tplc="04150017">
      <w:start w:val="1"/>
      <w:numFmt w:val="lowerLetter"/>
      <w:lvlText w:val="%1)"/>
      <w:lvlJc w:val="left"/>
      <w:pPr>
        <w:ind w:left="891" w:hanging="360"/>
      </w:pPr>
    </w:lvl>
    <w:lvl w:ilvl="1" w:tplc="04150019" w:tentative="1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1" w15:restartNumberingAfterBreak="0">
    <w:nsid w:val="69D84876"/>
    <w:multiLevelType w:val="hybridMultilevel"/>
    <w:tmpl w:val="FACCFFDC"/>
    <w:lvl w:ilvl="0" w:tplc="EF46F1D4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F1898"/>
    <w:multiLevelType w:val="hybridMultilevel"/>
    <w:tmpl w:val="7BE0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42D0"/>
    <w:multiLevelType w:val="hybridMultilevel"/>
    <w:tmpl w:val="AE324330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 w15:restartNumberingAfterBreak="0">
    <w:nsid w:val="72306BCF"/>
    <w:multiLevelType w:val="hybridMultilevel"/>
    <w:tmpl w:val="4D18EEDE"/>
    <w:lvl w:ilvl="0" w:tplc="54D2841E">
      <w:start w:val="1"/>
      <w:numFmt w:val="decimal"/>
      <w:lvlText w:val="%1)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64F67"/>
    <w:multiLevelType w:val="hybridMultilevel"/>
    <w:tmpl w:val="AE324330"/>
    <w:lvl w:ilvl="0" w:tplc="04150011">
      <w:start w:val="1"/>
      <w:numFmt w:val="decimal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 w15:restartNumberingAfterBreak="0">
    <w:nsid w:val="7A667AD2"/>
    <w:multiLevelType w:val="multilevel"/>
    <w:tmpl w:val="C4601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37" w15:restartNumberingAfterBreak="0">
    <w:nsid w:val="7AA14B06"/>
    <w:multiLevelType w:val="hybridMultilevel"/>
    <w:tmpl w:val="E4C02198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7F215F0A"/>
    <w:multiLevelType w:val="hybridMultilevel"/>
    <w:tmpl w:val="9182C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26"/>
  </w:num>
  <w:num w:numId="4">
    <w:abstractNumId w:val="22"/>
  </w:num>
  <w:num w:numId="5">
    <w:abstractNumId w:val="28"/>
  </w:num>
  <w:num w:numId="6">
    <w:abstractNumId w:val="10"/>
  </w:num>
  <w:num w:numId="7">
    <w:abstractNumId w:val="6"/>
  </w:num>
  <w:num w:numId="8">
    <w:abstractNumId w:val="13"/>
  </w:num>
  <w:num w:numId="9">
    <w:abstractNumId w:val="23"/>
  </w:num>
  <w:num w:numId="10">
    <w:abstractNumId w:val="11"/>
  </w:num>
  <w:num w:numId="11">
    <w:abstractNumId w:val="33"/>
  </w:num>
  <w:num w:numId="12">
    <w:abstractNumId w:val="3"/>
  </w:num>
  <w:num w:numId="13">
    <w:abstractNumId w:val="1"/>
  </w:num>
  <w:num w:numId="14">
    <w:abstractNumId w:val="16"/>
  </w:num>
  <w:num w:numId="15">
    <w:abstractNumId w:val="17"/>
  </w:num>
  <w:num w:numId="16">
    <w:abstractNumId w:val="30"/>
  </w:num>
  <w:num w:numId="17">
    <w:abstractNumId w:val="25"/>
  </w:num>
  <w:num w:numId="18">
    <w:abstractNumId w:val="32"/>
  </w:num>
  <w:num w:numId="19">
    <w:abstractNumId w:val="20"/>
  </w:num>
  <w:num w:numId="20">
    <w:abstractNumId w:val="37"/>
  </w:num>
  <w:num w:numId="21">
    <w:abstractNumId w:val="7"/>
  </w:num>
  <w:num w:numId="22">
    <w:abstractNumId w:val="9"/>
  </w:num>
  <w:num w:numId="23">
    <w:abstractNumId w:val="15"/>
  </w:num>
  <w:num w:numId="24">
    <w:abstractNumId w:val="29"/>
  </w:num>
  <w:num w:numId="25">
    <w:abstractNumId w:val="4"/>
  </w:num>
  <w:num w:numId="26">
    <w:abstractNumId w:val="2"/>
  </w:num>
  <w:num w:numId="27">
    <w:abstractNumId w:val="38"/>
  </w:num>
  <w:num w:numId="28">
    <w:abstractNumId w:val="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4"/>
  </w:num>
  <w:num w:numId="33">
    <w:abstractNumId w:val="19"/>
  </w:num>
  <w:num w:numId="34">
    <w:abstractNumId w:val="27"/>
  </w:num>
  <w:num w:numId="35">
    <w:abstractNumId w:val="12"/>
  </w:num>
  <w:num w:numId="36">
    <w:abstractNumId w:val="31"/>
  </w:num>
  <w:num w:numId="37">
    <w:abstractNumId w:val="5"/>
  </w:num>
  <w:num w:numId="38">
    <w:abstractNumId w:val="21"/>
  </w:num>
  <w:num w:numId="39">
    <w:abstractNumId w:val="3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EA"/>
    <w:rsid w:val="0000774E"/>
    <w:rsid w:val="00016E7D"/>
    <w:rsid w:val="0001743B"/>
    <w:rsid w:val="0002328C"/>
    <w:rsid w:val="00026323"/>
    <w:rsid w:val="0004348E"/>
    <w:rsid w:val="0004522F"/>
    <w:rsid w:val="000754AD"/>
    <w:rsid w:val="0008481F"/>
    <w:rsid w:val="00090E05"/>
    <w:rsid w:val="00097CEA"/>
    <w:rsid w:val="000A3B50"/>
    <w:rsid w:val="000B54B9"/>
    <w:rsid w:val="000C26A5"/>
    <w:rsid w:val="00101A8D"/>
    <w:rsid w:val="00102D95"/>
    <w:rsid w:val="001122F3"/>
    <w:rsid w:val="00133F4C"/>
    <w:rsid w:val="00151EB2"/>
    <w:rsid w:val="0015336C"/>
    <w:rsid w:val="00171A23"/>
    <w:rsid w:val="001807E9"/>
    <w:rsid w:val="00184FCE"/>
    <w:rsid w:val="001B1B22"/>
    <w:rsid w:val="001B56AA"/>
    <w:rsid w:val="001D2025"/>
    <w:rsid w:val="001F2F3D"/>
    <w:rsid w:val="001F319F"/>
    <w:rsid w:val="002026CD"/>
    <w:rsid w:val="00211ACB"/>
    <w:rsid w:val="00230B01"/>
    <w:rsid w:val="00242455"/>
    <w:rsid w:val="00282981"/>
    <w:rsid w:val="00291924"/>
    <w:rsid w:val="002A4ECE"/>
    <w:rsid w:val="002B3FE9"/>
    <w:rsid w:val="002C6734"/>
    <w:rsid w:val="002D5B09"/>
    <w:rsid w:val="002E31C9"/>
    <w:rsid w:val="002F15EF"/>
    <w:rsid w:val="00320E06"/>
    <w:rsid w:val="00333F0F"/>
    <w:rsid w:val="00344669"/>
    <w:rsid w:val="00367687"/>
    <w:rsid w:val="00392D9A"/>
    <w:rsid w:val="003A3258"/>
    <w:rsid w:val="003C53D3"/>
    <w:rsid w:val="003D7CCF"/>
    <w:rsid w:val="003E4C68"/>
    <w:rsid w:val="004003FF"/>
    <w:rsid w:val="00403769"/>
    <w:rsid w:val="00440404"/>
    <w:rsid w:val="004605DF"/>
    <w:rsid w:val="004736A6"/>
    <w:rsid w:val="00475A61"/>
    <w:rsid w:val="004E554D"/>
    <w:rsid w:val="00502DAD"/>
    <w:rsid w:val="00511432"/>
    <w:rsid w:val="0052217A"/>
    <w:rsid w:val="00553F95"/>
    <w:rsid w:val="0057219F"/>
    <w:rsid w:val="005733DB"/>
    <w:rsid w:val="00587EC9"/>
    <w:rsid w:val="005E2AE0"/>
    <w:rsid w:val="00604FC6"/>
    <w:rsid w:val="006133BA"/>
    <w:rsid w:val="0061367F"/>
    <w:rsid w:val="0061787D"/>
    <w:rsid w:val="00626BA2"/>
    <w:rsid w:val="006319DB"/>
    <w:rsid w:val="00642468"/>
    <w:rsid w:val="006501FD"/>
    <w:rsid w:val="0066548C"/>
    <w:rsid w:val="006778BC"/>
    <w:rsid w:val="006977EB"/>
    <w:rsid w:val="006A08EF"/>
    <w:rsid w:val="006B21DC"/>
    <w:rsid w:val="006C3862"/>
    <w:rsid w:val="006F4E84"/>
    <w:rsid w:val="00776914"/>
    <w:rsid w:val="007A41E4"/>
    <w:rsid w:val="007B7E5B"/>
    <w:rsid w:val="007C7350"/>
    <w:rsid w:val="00804B1A"/>
    <w:rsid w:val="008137BC"/>
    <w:rsid w:val="0083577B"/>
    <w:rsid w:val="00847A8D"/>
    <w:rsid w:val="008628A9"/>
    <w:rsid w:val="00863FA2"/>
    <w:rsid w:val="00874EB3"/>
    <w:rsid w:val="008D3D48"/>
    <w:rsid w:val="008E3C9B"/>
    <w:rsid w:val="009032E5"/>
    <w:rsid w:val="00906740"/>
    <w:rsid w:val="00921383"/>
    <w:rsid w:val="0092492F"/>
    <w:rsid w:val="009434BE"/>
    <w:rsid w:val="009440F9"/>
    <w:rsid w:val="009520EF"/>
    <w:rsid w:val="00966741"/>
    <w:rsid w:val="009815E4"/>
    <w:rsid w:val="00986B20"/>
    <w:rsid w:val="00990321"/>
    <w:rsid w:val="009A2A0C"/>
    <w:rsid w:val="009A4CE1"/>
    <w:rsid w:val="009A5CA2"/>
    <w:rsid w:val="009B6E4C"/>
    <w:rsid w:val="009C3E5B"/>
    <w:rsid w:val="00A36C05"/>
    <w:rsid w:val="00A45067"/>
    <w:rsid w:val="00A50EF9"/>
    <w:rsid w:val="00A704EC"/>
    <w:rsid w:val="00A9435D"/>
    <w:rsid w:val="00AB0E0C"/>
    <w:rsid w:val="00AC0A47"/>
    <w:rsid w:val="00AC1C08"/>
    <w:rsid w:val="00AE5D08"/>
    <w:rsid w:val="00AF268E"/>
    <w:rsid w:val="00AF2FCC"/>
    <w:rsid w:val="00B07645"/>
    <w:rsid w:val="00B5090C"/>
    <w:rsid w:val="00B74261"/>
    <w:rsid w:val="00B750CC"/>
    <w:rsid w:val="00B8422E"/>
    <w:rsid w:val="00B967BB"/>
    <w:rsid w:val="00BC029A"/>
    <w:rsid w:val="00BD08EF"/>
    <w:rsid w:val="00BD7F6C"/>
    <w:rsid w:val="00C02F73"/>
    <w:rsid w:val="00C138A1"/>
    <w:rsid w:val="00C166A1"/>
    <w:rsid w:val="00C2669C"/>
    <w:rsid w:val="00C32310"/>
    <w:rsid w:val="00C45D55"/>
    <w:rsid w:val="00C53B9F"/>
    <w:rsid w:val="00C63FF0"/>
    <w:rsid w:val="00C64FB5"/>
    <w:rsid w:val="00C76D55"/>
    <w:rsid w:val="00C876D4"/>
    <w:rsid w:val="00CA1D97"/>
    <w:rsid w:val="00CB413C"/>
    <w:rsid w:val="00CD3F29"/>
    <w:rsid w:val="00CD5BB3"/>
    <w:rsid w:val="00D11E58"/>
    <w:rsid w:val="00D17380"/>
    <w:rsid w:val="00D24802"/>
    <w:rsid w:val="00D40121"/>
    <w:rsid w:val="00D41DF5"/>
    <w:rsid w:val="00D56B8C"/>
    <w:rsid w:val="00D831D4"/>
    <w:rsid w:val="00D90491"/>
    <w:rsid w:val="00DA42F4"/>
    <w:rsid w:val="00DC135D"/>
    <w:rsid w:val="00DE6C55"/>
    <w:rsid w:val="00E05816"/>
    <w:rsid w:val="00E21710"/>
    <w:rsid w:val="00E334B6"/>
    <w:rsid w:val="00E370B0"/>
    <w:rsid w:val="00E40EA2"/>
    <w:rsid w:val="00E54496"/>
    <w:rsid w:val="00E70753"/>
    <w:rsid w:val="00EA1DA5"/>
    <w:rsid w:val="00EB75DF"/>
    <w:rsid w:val="00EC6693"/>
    <w:rsid w:val="00EF4B76"/>
    <w:rsid w:val="00EF71D4"/>
    <w:rsid w:val="00F20A3A"/>
    <w:rsid w:val="00F33D11"/>
    <w:rsid w:val="00F37C14"/>
    <w:rsid w:val="00F438F6"/>
    <w:rsid w:val="00F45ED6"/>
    <w:rsid w:val="00F57FAD"/>
    <w:rsid w:val="00F71E5E"/>
    <w:rsid w:val="00F866BC"/>
    <w:rsid w:val="00FA0578"/>
    <w:rsid w:val="00FA1D99"/>
    <w:rsid w:val="00FD18A1"/>
    <w:rsid w:val="00FD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74BD1EA-D505-4FEC-8A02-3217923F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C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1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5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paragraph" w:styleId="Bezodstpw">
    <w:name w:val="No Spacing"/>
    <w:basedOn w:val="Normalny"/>
    <w:uiPriority w:val="1"/>
    <w:qFormat/>
    <w:rsid w:val="00090E05"/>
    <w:pPr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table" w:styleId="Jasnecieniowanie">
    <w:name w:val="Light Shading"/>
    <w:basedOn w:val="Standardowy"/>
    <w:uiPriority w:val="60"/>
    <w:rsid w:val="00090E05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lang w:eastAsia="pl-P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9A2A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A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A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9DFE-539C-442D-BE09-DECCD88C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601</Words>
  <Characters>3608</Characters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2016-07-05T10:53:00Z</cp:lastPrinted>
  <dcterms:created xsi:type="dcterms:W3CDTF">2017-12-20T17:11:00Z</dcterms:created>
  <dcterms:modified xsi:type="dcterms:W3CDTF">2018-02-09T11:21:00Z</dcterms:modified>
</cp:coreProperties>
</file>