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BB" w:rsidRPr="004E796C" w:rsidRDefault="006C5034" w:rsidP="004E796C">
      <w:pPr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4E796C">
        <w:rPr>
          <w:rFonts w:ascii="Times New Roman" w:hAnsi="Times New Roman"/>
          <w:sz w:val="22"/>
          <w:szCs w:val="22"/>
        </w:rPr>
        <w:t>Załącznik B.63.</w:t>
      </w:r>
      <w:bookmarkStart w:id="0" w:name="_GoBack"/>
      <w:bookmarkEnd w:id="0"/>
    </w:p>
    <w:p w:rsidR="006C5034" w:rsidRPr="004E796C" w:rsidRDefault="006C5034" w:rsidP="004E796C">
      <w:pPr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AB01BB" w:rsidRPr="00ED5F1C" w:rsidRDefault="00ED5F1C" w:rsidP="004E796C">
      <w:pPr>
        <w:widowControl/>
        <w:autoSpaceDE/>
        <w:autoSpaceDN/>
        <w:adjustRightInd/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D5F1C">
        <w:rPr>
          <w:rFonts w:ascii="Times New Roman" w:hAnsi="Times New Roman"/>
          <w:b/>
          <w:sz w:val="28"/>
          <w:szCs w:val="28"/>
        </w:rPr>
        <w:t xml:space="preserve">LECZENIE </w:t>
      </w:r>
      <w:r w:rsidR="00B27316">
        <w:rPr>
          <w:rFonts w:ascii="Times New Roman" w:hAnsi="Times New Roman"/>
          <w:b/>
          <w:sz w:val="28"/>
          <w:szCs w:val="28"/>
        </w:rPr>
        <w:t xml:space="preserve">NIEDROBNOKOMÓRKOWEGO RAKA </w:t>
      </w:r>
      <w:r w:rsidR="0034160E">
        <w:rPr>
          <w:rFonts w:ascii="Times New Roman" w:hAnsi="Times New Roman"/>
          <w:b/>
          <w:sz w:val="28"/>
          <w:szCs w:val="28"/>
        </w:rPr>
        <w:t>PŁUC</w:t>
      </w:r>
      <w:r w:rsidR="00F03156">
        <w:rPr>
          <w:rFonts w:ascii="Times New Roman" w:hAnsi="Times New Roman"/>
          <w:b/>
          <w:sz w:val="28"/>
          <w:szCs w:val="28"/>
        </w:rPr>
        <w:t>A</w:t>
      </w:r>
      <w:r w:rsidRPr="00ED5F1C">
        <w:rPr>
          <w:rFonts w:ascii="Times New Roman" w:hAnsi="Times New Roman"/>
          <w:b/>
          <w:sz w:val="28"/>
          <w:szCs w:val="28"/>
        </w:rPr>
        <w:t xml:space="preserve"> </w:t>
      </w:r>
      <w:r w:rsidR="00B27316">
        <w:rPr>
          <w:rFonts w:ascii="Times New Roman" w:hAnsi="Times New Roman"/>
          <w:b/>
          <w:sz w:val="28"/>
          <w:szCs w:val="28"/>
        </w:rPr>
        <w:t>Z ZASTOS</w:t>
      </w:r>
      <w:r w:rsidR="002D3B75">
        <w:rPr>
          <w:rFonts w:ascii="Times New Roman" w:hAnsi="Times New Roman"/>
          <w:b/>
          <w:sz w:val="28"/>
          <w:szCs w:val="28"/>
        </w:rPr>
        <w:t>O</w:t>
      </w:r>
      <w:r w:rsidR="00B27316">
        <w:rPr>
          <w:rFonts w:ascii="Times New Roman" w:hAnsi="Times New Roman"/>
          <w:b/>
          <w:sz w:val="28"/>
          <w:szCs w:val="28"/>
        </w:rPr>
        <w:t>WANIEM AFATYNIBU</w:t>
      </w:r>
      <w:r w:rsidR="00B639F8">
        <w:rPr>
          <w:rFonts w:ascii="Times New Roman" w:hAnsi="Times New Roman"/>
          <w:b/>
          <w:sz w:val="28"/>
          <w:szCs w:val="28"/>
        </w:rPr>
        <w:t xml:space="preserve"> I NINTEDANIBU</w:t>
      </w:r>
      <w:r w:rsidR="00B27316">
        <w:rPr>
          <w:rFonts w:ascii="Times New Roman" w:hAnsi="Times New Roman"/>
          <w:b/>
          <w:sz w:val="28"/>
          <w:szCs w:val="28"/>
        </w:rPr>
        <w:t xml:space="preserve"> </w:t>
      </w:r>
      <w:r w:rsidR="005C6C0D">
        <w:rPr>
          <w:rFonts w:ascii="Times New Roman" w:hAnsi="Times New Roman"/>
          <w:b/>
          <w:sz w:val="28"/>
          <w:szCs w:val="28"/>
        </w:rPr>
        <w:t>(</w:t>
      </w:r>
      <w:r w:rsidR="00F61B6F">
        <w:rPr>
          <w:rFonts w:ascii="Times New Roman" w:hAnsi="Times New Roman"/>
          <w:b/>
          <w:sz w:val="28"/>
          <w:szCs w:val="28"/>
        </w:rPr>
        <w:t>ICD-10 C</w:t>
      </w:r>
      <w:r w:rsidRPr="00ED5F1C">
        <w:rPr>
          <w:rFonts w:ascii="Times New Roman" w:hAnsi="Times New Roman"/>
          <w:b/>
          <w:sz w:val="28"/>
          <w:szCs w:val="28"/>
        </w:rPr>
        <w:t xml:space="preserve"> </w:t>
      </w:r>
      <w:r w:rsidR="00560313" w:rsidRPr="00560313">
        <w:rPr>
          <w:rFonts w:ascii="Times New Roman" w:hAnsi="Times New Roman"/>
          <w:b/>
          <w:sz w:val="28"/>
          <w:szCs w:val="28"/>
        </w:rPr>
        <w:t>34</w:t>
      </w:r>
      <w:r w:rsidRPr="00ED5F1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4253"/>
        <w:gridCol w:w="4677"/>
      </w:tblGrid>
      <w:tr w:rsidR="00AB01BB" w:rsidRPr="004E796C" w:rsidTr="00632659">
        <w:tc>
          <w:tcPr>
            <w:tcW w:w="15304" w:type="dxa"/>
            <w:gridSpan w:val="3"/>
            <w:vAlign w:val="center"/>
          </w:tcPr>
          <w:p w:rsidR="00E2666D" w:rsidRPr="004E796C" w:rsidRDefault="00E2666D" w:rsidP="004E79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AB01BB" w:rsidRPr="004E796C" w:rsidTr="00632659">
        <w:trPr>
          <w:trHeight w:val="646"/>
        </w:trPr>
        <w:tc>
          <w:tcPr>
            <w:tcW w:w="6374" w:type="dxa"/>
            <w:vAlign w:val="center"/>
          </w:tcPr>
          <w:p w:rsidR="00E2666D" w:rsidRPr="004E796C" w:rsidRDefault="00E2666D" w:rsidP="004E79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4253" w:type="dxa"/>
            <w:vAlign w:val="center"/>
          </w:tcPr>
          <w:p w:rsidR="00E2666D" w:rsidRPr="004E796C" w:rsidRDefault="00E2666D" w:rsidP="004E79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 xml:space="preserve">SCHEMAT DAWKOWANIA LEKÓW </w:t>
            </w:r>
            <w:r w:rsidRPr="004E796C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2666D" w:rsidRPr="004E796C" w:rsidRDefault="00E2666D" w:rsidP="004E79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BADANIA DIAGNOSTYCZNE WYKONYWANE W RAMACH PROGRAMU</w:t>
            </w:r>
          </w:p>
        </w:tc>
      </w:tr>
      <w:tr w:rsidR="00104A9A" w:rsidRPr="004E796C" w:rsidTr="00632659">
        <w:tc>
          <w:tcPr>
            <w:tcW w:w="15304" w:type="dxa"/>
            <w:gridSpan w:val="3"/>
            <w:tcBorders>
              <w:right w:val="single" w:sz="4" w:space="0" w:color="auto"/>
            </w:tcBorders>
            <w:vAlign w:val="center"/>
          </w:tcPr>
          <w:p w:rsidR="00104A9A" w:rsidRPr="004E796C" w:rsidRDefault="00104A9A" w:rsidP="004E79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LECZENIE NIEDROBNOKOMÓRKOWEGO RAKA PŁUCA Z ZASTOSOWANIEM AFATYNIBU</w:t>
            </w:r>
          </w:p>
        </w:tc>
      </w:tr>
      <w:tr w:rsidR="00AB01BB" w:rsidRPr="004E796C" w:rsidTr="00632659">
        <w:tc>
          <w:tcPr>
            <w:tcW w:w="6374" w:type="dxa"/>
          </w:tcPr>
          <w:p w:rsidR="00E2666D" w:rsidRPr="004E796C" w:rsidRDefault="00E2666D" w:rsidP="004E796C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  <w:b/>
              </w:rPr>
              <w:t>Kryteria kwalifikacji</w:t>
            </w:r>
            <w:r w:rsidRPr="004E796C">
              <w:rPr>
                <w:rFonts w:ascii="Times New Roman" w:hAnsi="Times New Roman"/>
              </w:rPr>
              <w:t xml:space="preserve"> </w:t>
            </w:r>
          </w:p>
          <w:p w:rsidR="00AC257B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1) </w:t>
            </w:r>
            <w:r w:rsidR="00AC257B" w:rsidRPr="004E796C">
              <w:rPr>
                <w:rFonts w:ascii="Times New Roman" w:hAnsi="Times New Roman"/>
              </w:rPr>
              <w:t>rozpoznanie hist</w:t>
            </w:r>
            <w:r w:rsidR="00B873EA" w:rsidRPr="004E796C">
              <w:rPr>
                <w:rFonts w:ascii="Times New Roman" w:hAnsi="Times New Roman"/>
              </w:rPr>
              <w:t xml:space="preserve">ologiczne lub cytologiczne raka </w:t>
            </w:r>
            <w:r w:rsidR="00AC257B" w:rsidRPr="004E796C">
              <w:rPr>
                <w:rFonts w:ascii="Times New Roman" w:hAnsi="Times New Roman"/>
              </w:rPr>
              <w:t xml:space="preserve">gruczołowego (wraz z podtypami)  lub raka niedrobnokomórkowego z przewagą raka gruczołowego lub raka wielkokomórkowego lub raka niedrobnokomórkowego bez ustalonego podtypu (ang. </w:t>
            </w:r>
            <w:r w:rsidR="008E0CE0" w:rsidRPr="004E796C">
              <w:rPr>
                <w:rFonts w:ascii="Times New Roman" w:hAnsi="Times New Roman"/>
              </w:rPr>
              <w:t>N</w:t>
            </w:r>
            <w:r w:rsidR="00AC257B" w:rsidRPr="004E796C">
              <w:rPr>
                <w:rFonts w:ascii="Times New Roman" w:hAnsi="Times New Roman"/>
              </w:rPr>
              <w:t xml:space="preserve">ot </w:t>
            </w:r>
            <w:r w:rsidR="008E0CE0" w:rsidRPr="004E796C">
              <w:rPr>
                <w:rFonts w:ascii="Times New Roman" w:hAnsi="Times New Roman"/>
              </w:rPr>
              <w:t>O</w:t>
            </w:r>
            <w:r w:rsidR="00AC257B" w:rsidRPr="004E796C">
              <w:rPr>
                <w:rFonts w:ascii="Times New Roman" w:hAnsi="Times New Roman"/>
              </w:rPr>
              <w:t xml:space="preserve">therwise </w:t>
            </w:r>
            <w:r w:rsidR="008E0CE0" w:rsidRPr="004E796C">
              <w:rPr>
                <w:rFonts w:ascii="Times New Roman" w:hAnsi="Times New Roman"/>
              </w:rPr>
              <w:t>S</w:t>
            </w:r>
            <w:r w:rsidR="00AC257B" w:rsidRPr="004E796C">
              <w:rPr>
                <w:rFonts w:ascii="Times New Roman" w:hAnsi="Times New Roman"/>
              </w:rPr>
              <w:t>pecified, NOS</w:t>
            </w:r>
            <w:r w:rsidR="00A60DE5" w:rsidRPr="004E796C">
              <w:rPr>
                <w:rFonts w:ascii="Times New Roman" w:hAnsi="Times New Roman"/>
              </w:rPr>
              <w:t>)</w:t>
            </w:r>
            <w:r w:rsidR="00A92903" w:rsidRPr="004E796C">
              <w:rPr>
                <w:rFonts w:ascii="Times New Roman" w:hAnsi="Times New Roman"/>
              </w:rPr>
              <w:t>;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2) </w:t>
            </w:r>
            <w:r w:rsidR="00C64B04" w:rsidRPr="004E796C">
              <w:rPr>
                <w:rFonts w:ascii="Times New Roman" w:hAnsi="Times New Roman"/>
              </w:rPr>
              <w:t>potwierdzenie obecności mutacji aktywującej w genie EGFR kodującym receptor naskórkowego czynnika wzrostu (a</w:t>
            </w:r>
            <w:r w:rsidR="008E0CE0" w:rsidRPr="004E796C">
              <w:rPr>
                <w:rFonts w:ascii="Times New Roman" w:hAnsi="Times New Roman"/>
              </w:rPr>
              <w:t>n</w:t>
            </w:r>
            <w:r w:rsidR="00C64B04" w:rsidRPr="004E796C">
              <w:rPr>
                <w:rFonts w:ascii="Times New Roman" w:hAnsi="Times New Roman"/>
              </w:rPr>
              <w:t xml:space="preserve">g. </w:t>
            </w:r>
            <w:r w:rsidR="008E0CE0" w:rsidRPr="004E796C">
              <w:rPr>
                <w:rFonts w:ascii="Times New Roman" w:hAnsi="Times New Roman"/>
              </w:rPr>
              <w:t>E</w:t>
            </w:r>
            <w:r w:rsidR="00C64B04" w:rsidRPr="004E796C">
              <w:rPr>
                <w:rFonts w:ascii="Times New Roman" w:hAnsi="Times New Roman"/>
              </w:rPr>
              <w:t xml:space="preserve">pidermal </w:t>
            </w:r>
            <w:r w:rsidR="008E0CE0" w:rsidRPr="004E796C">
              <w:rPr>
                <w:rFonts w:ascii="Times New Roman" w:hAnsi="Times New Roman"/>
              </w:rPr>
              <w:t>G</w:t>
            </w:r>
            <w:r w:rsidR="00C64B04" w:rsidRPr="004E796C">
              <w:rPr>
                <w:rFonts w:ascii="Times New Roman" w:hAnsi="Times New Roman"/>
              </w:rPr>
              <w:t xml:space="preserve">rowth </w:t>
            </w:r>
            <w:r w:rsidR="008E0CE0" w:rsidRPr="004E796C">
              <w:rPr>
                <w:rFonts w:ascii="Times New Roman" w:hAnsi="Times New Roman"/>
              </w:rPr>
              <w:t>F</w:t>
            </w:r>
            <w:r w:rsidR="00C64B04" w:rsidRPr="004E796C">
              <w:rPr>
                <w:rFonts w:ascii="Times New Roman" w:hAnsi="Times New Roman"/>
              </w:rPr>
              <w:t xml:space="preserve">actor </w:t>
            </w:r>
            <w:r w:rsidR="008E0CE0" w:rsidRPr="004E796C">
              <w:rPr>
                <w:rFonts w:ascii="Times New Roman" w:hAnsi="Times New Roman"/>
              </w:rPr>
              <w:t>R</w:t>
            </w:r>
            <w:r w:rsidR="00C64B04" w:rsidRPr="004E796C">
              <w:rPr>
                <w:rFonts w:ascii="Times New Roman" w:hAnsi="Times New Roman"/>
              </w:rPr>
              <w:t>eceptor, EGFR)</w:t>
            </w:r>
            <w:r w:rsidR="00A60DE5" w:rsidRPr="004E796C">
              <w:rPr>
                <w:rFonts w:ascii="Times New Roman" w:hAnsi="Times New Roman"/>
              </w:rPr>
              <w:t>;</w:t>
            </w:r>
          </w:p>
          <w:p w:rsidR="00A92903" w:rsidRPr="004E796C" w:rsidRDefault="00A000DF" w:rsidP="004E796C">
            <w:pPr>
              <w:tabs>
                <w:tab w:val="left" w:pos="492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3) </w:t>
            </w:r>
            <w:r w:rsidR="00A92903" w:rsidRPr="004E796C">
              <w:rPr>
                <w:rFonts w:ascii="Times New Roman" w:hAnsi="Times New Roman"/>
              </w:rPr>
              <w:t>zaawansowanie miejsc</w:t>
            </w:r>
            <w:r w:rsidR="007002D3" w:rsidRPr="004E796C">
              <w:rPr>
                <w:rFonts w:ascii="Times New Roman" w:hAnsi="Times New Roman"/>
              </w:rPr>
              <w:t>owe (stopień III – z wy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7002D3" w:rsidRPr="004E796C">
              <w:rPr>
                <w:rFonts w:ascii="Times New Roman" w:hAnsi="Times New Roman"/>
              </w:rPr>
              <w:t xml:space="preserve">jątkiem </w:t>
            </w:r>
            <w:r w:rsidR="00A92903" w:rsidRPr="004E796C">
              <w:rPr>
                <w:rFonts w:ascii="Times New Roman" w:hAnsi="Times New Roman"/>
              </w:rPr>
              <w:t>przypadków, w których możliwe jest zasto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A92903" w:rsidRPr="004E796C">
              <w:rPr>
                <w:rFonts w:ascii="Times New Roman" w:hAnsi="Times New Roman"/>
              </w:rPr>
              <w:t>sowanie radiochemioterapii, radioterapii lub chirur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A92903" w:rsidRPr="004E796C">
              <w:rPr>
                <w:rFonts w:ascii="Times New Roman" w:hAnsi="Times New Roman"/>
              </w:rPr>
              <w:t xml:space="preserve">gicznego leczenia) lub uogólnienie (stopień IV); 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4) </w:t>
            </w:r>
            <w:r w:rsidR="00A92903" w:rsidRPr="004E796C">
              <w:rPr>
                <w:rFonts w:ascii="Times New Roman" w:hAnsi="Times New Roman"/>
              </w:rPr>
              <w:t xml:space="preserve">brak wcześniejszego leczenia farmakologicznego </w:t>
            </w:r>
          </w:p>
          <w:p w:rsidR="00A92903" w:rsidRPr="004E796C" w:rsidRDefault="00A92903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niedrobnokomórkowego ra</w:t>
            </w:r>
            <w:r w:rsidR="007002D3" w:rsidRPr="004E796C">
              <w:rPr>
                <w:rFonts w:ascii="Times New Roman" w:hAnsi="Times New Roman"/>
              </w:rPr>
              <w:t>ka płuca w stadium uo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7002D3" w:rsidRPr="004E796C">
              <w:rPr>
                <w:rFonts w:ascii="Times New Roman" w:hAnsi="Times New Roman"/>
              </w:rPr>
              <w:t xml:space="preserve">gólnienia </w:t>
            </w:r>
            <w:r w:rsidR="0034160E" w:rsidRPr="004E796C">
              <w:rPr>
                <w:rFonts w:ascii="Times New Roman" w:hAnsi="Times New Roman"/>
              </w:rPr>
              <w:t xml:space="preserve">(obecność przerzutów) lub </w:t>
            </w:r>
            <w:r w:rsidRPr="004E796C">
              <w:rPr>
                <w:rFonts w:ascii="Times New Roman" w:hAnsi="Times New Roman"/>
              </w:rPr>
              <w:t>miejscowego zaawansowania</w:t>
            </w:r>
            <w:r w:rsidR="003631ED" w:rsidRPr="004E796C">
              <w:rPr>
                <w:rFonts w:ascii="Times New Roman" w:hAnsi="Times New Roman"/>
              </w:rPr>
              <w:t xml:space="preserve"> (</w:t>
            </w:r>
            <w:r w:rsidR="005E5779" w:rsidRPr="004E796C">
              <w:rPr>
                <w:rFonts w:ascii="Times New Roman" w:hAnsi="Times New Roman"/>
              </w:rPr>
              <w:t>z wyłączeniem</w:t>
            </w:r>
            <w:r w:rsidR="003631ED" w:rsidRPr="004E796C">
              <w:rPr>
                <w:rFonts w:ascii="Times New Roman" w:hAnsi="Times New Roman"/>
              </w:rPr>
              <w:t xml:space="preserve"> chemioterapii uzupełniającej)</w:t>
            </w:r>
            <w:r w:rsidR="005E5779" w:rsidRPr="004E796C">
              <w:rPr>
                <w:rFonts w:ascii="Times New Roman" w:hAnsi="Times New Roman"/>
              </w:rPr>
              <w:t>;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5) </w:t>
            </w:r>
            <w:r w:rsidR="00C64B04" w:rsidRPr="004E796C">
              <w:rPr>
                <w:rFonts w:ascii="Times New Roman" w:hAnsi="Times New Roman"/>
              </w:rPr>
              <w:t>zmiany nowotworowe możliwe do zmierzenia według kryteriów RECIST 1.1.</w:t>
            </w:r>
            <w:r w:rsidR="00BD01B0" w:rsidRPr="004E796C">
              <w:rPr>
                <w:rFonts w:ascii="Times New Roman" w:hAnsi="Times New Roman"/>
              </w:rPr>
              <w:t xml:space="preserve"> </w:t>
            </w:r>
            <w:r w:rsidR="008E0CE0" w:rsidRPr="004E796C">
              <w:rPr>
                <w:rFonts w:ascii="Times New Roman" w:hAnsi="Times New Roman"/>
              </w:rPr>
              <w:t>(ang. Response Evaluation Criteria In Solid Tumors, RECIST).</w:t>
            </w:r>
            <w:r w:rsidR="00A60DE5" w:rsidRPr="004E796C">
              <w:rPr>
                <w:rFonts w:ascii="Times New Roman" w:hAnsi="Times New Roman"/>
              </w:rPr>
              <w:t xml:space="preserve"> </w:t>
            </w:r>
            <w:r w:rsidR="00B249BF" w:rsidRPr="004E796C">
              <w:rPr>
                <w:rFonts w:ascii="Times New Roman" w:hAnsi="Times New Roman"/>
              </w:rPr>
              <w:t>J</w:t>
            </w:r>
            <w:r w:rsidR="00E81DB8" w:rsidRPr="004E796C">
              <w:rPr>
                <w:rFonts w:ascii="Times New Roman" w:hAnsi="Times New Roman"/>
              </w:rPr>
              <w:t xml:space="preserve">eżeli pierwotny guz płuca nie istnieje (stan po resekcji płuca, </w:t>
            </w:r>
            <w:r w:rsidR="005E5779" w:rsidRPr="004E796C">
              <w:rPr>
                <w:rFonts w:ascii="Times New Roman" w:hAnsi="Times New Roman"/>
              </w:rPr>
              <w:t>nowotwór płuca bez ogniska pier</w:t>
            </w:r>
            <w:r w:rsidR="00E81DB8" w:rsidRPr="004E796C">
              <w:rPr>
                <w:rFonts w:ascii="Times New Roman" w:hAnsi="Times New Roman"/>
              </w:rPr>
              <w:t>wotnego), konieczne jest wykazanie w badaniach obrazowych przerzutowych zmian mierzalnych lub policzalnych zmian niemierzalnych;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6) </w:t>
            </w:r>
            <w:r w:rsidR="00A92903" w:rsidRPr="004E796C">
              <w:rPr>
                <w:rFonts w:ascii="Times New Roman" w:hAnsi="Times New Roman"/>
              </w:rPr>
              <w:t>w</w:t>
            </w:r>
            <w:r w:rsidR="007002D3" w:rsidRPr="004E796C">
              <w:rPr>
                <w:rFonts w:ascii="Times New Roman" w:hAnsi="Times New Roman"/>
              </w:rPr>
              <w:t xml:space="preserve"> przypadku pojedynczej zmiany –</w:t>
            </w:r>
            <w:r w:rsidR="00B3081B" w:rsidRPr="004E796C">
              <w:rPr>
                <w:rFonts w:ascii="Times New Roman" w:hAnsi="Times New Roman"/>
              </w:rPr>
              <w:t xml:space="preserve"> </w:t>
            </w:r>
            <w:r w:rsidR="00A92903" w:rsidRPr="004E796C">
              <w:rPr>
                <w:rFonts w:ascii="Times New Roman" w:hAnsi="Times New Roman"/>
              </w:rPr>
              <w:t>umiejscowie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A92903" w:rsidRPr="004E796C">
              <w:rPr>
                <w:rFonts w:ascii="Times New Roman" w:hAnsi="Times New Roman"/>
              </w:rPr>
              <w:t xml:space="preserve">nie poza obszarem wcześniejszego napromieniania; </w:t>
            </w:r>
          </w:p>
          <w:p w:rsidR="00A92903" w:rsidRPr="004E796C" w:rsidRDefault="00A000DF" w:rsidP="004E796C">
            <w:pPr>
              <w:spacing w:line="276" w:lineRule="auto"/>
              <w:ind w:right="87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lastRenderedPageBreak/>
              <w:t>7)</w:t>
            </w:r>
            <w:r w:rsidR="00A60DE5" w:rsidRPr="004E796C">
              <w:rPr>
                <w:rFonts w:ascii="Times New Roman" w:hAnsi="Times New Roman"/>
                <w:b/>
              </w:rPr>
              <w:t xml:space="preserve"> </w:t>
            </w:r>
            <w:r w:rsidR="000A6495" w:rsidRPr="004E796C">
              <w:rPr>
                <w:rFonts w:ascii="Times New Roman" w:hAnsi="Times New Roman"/>
              </w:rPr>
              <w:t>istnienie możliwości przeprowadzenia obiektywnej oceny odpowiedzi w badaniach obrazowych z zastosowaniem kryteriów oceny systemu RECIST 1.1.</w:t>
            </w:r>
            <w:r w:rsidR="00A92903" w:rsidRPr="004E796C">
              <w:rPr>
                <w:rFonts w:ascii="Times New Roman" w:hAnsi="Times New Roman"/>
              </w:rPr>
              <w:t xml:space="preserve">; 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8) </w:t>
            </w:r>
            <w:r w:rsidR="00A92903" w:rsidRPr="004E796C">
              <w:rPr>
                <w:rFonts w:ascii="Times New Roman" w:hAnsi="Times New Roman"/>
              </w:rPr>
              <w:t xml:space="preserve">wiek powyżej 18 roku życia; 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9) </w:t>
            </w:r>
            <w:r w:rsidR="00FA1E38" w:rsidRPr="004E796C">
              <w:rPr>
                <w:rFonts w:ascii="Times New Roman" w:hAnsi="Times New Roman"/>
              </w:rPr>
              <w:t>sprawność w stopniu 0-</w:t>
            </w:r>
            <w:r w:rsidR="009F7912" w:rsidRPr="004E796C">
              <w:rPr>
                <w:rFonts w:ascii="Times New Roman" w:hAnsi="Times New Roman"/>
              </w:rPr>
              <w:t>1</w:t>
            </w:r>
            <w:r w:rsidR="00FA1E38" w:rsidRPr="004E796C">
              <w:rPr>
                <w:rFonts w:ascii="Times New Roman" w:hAnsi="Times New Roman"/>
                <w:color w:val="FF0000"/>
              </w:rPr>
              <w:t xml:space="preserve"> </w:t>
            </w:r>
            <w:r w:rsidR="00A92903" w:rsidRPr="004E796C">
              <w:rPr>
                <w:rFonts w:ascii="Times New Roman" w:hAnsi="Times New Roman"/>
              </w:rPr>
              <w:t>wg klas</w:t>
            </w:r>
            <w:r w:rsidR="007002D3" w:rsidRPr="004E796C">
              <w:rPr>
                <w:rFonts w:ascii="Times New Roman" w:hAnsi="Times New Roman"/>
              </w:rPr>
              <w:t>yfikacji WHO</w:t>
            </w:r>
            <w:r w:rsidR="00A92903" w:rsidRPr="004E796C">
              <w:rPr>
                <w:rFonts w:ascii="Times New Roman" w:hAnsi="Times New Roman"/>
              </w:rPr>
              <w:t xml:space="preserve">; 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10) </w:t>
            </w:r>
            <w:r w:rsidR="000A6495" w:rsidRPr="004E796C">
              <w:rPr>
                <w:rFonts w:ascii="Times New Roman" w:hAnsi="Times New Roman"/>
              </w:rPr>
              <w:t>wykluczenie obecności istotnych klinicznie chorób współwystępujących (szczególnie – niekontrolowane nadciśnienie tętnicze, niestabilna choroba wieńcowa, zawał mięśnia sercowego w ciągu ostatniego roku, komorowe zaburzenia rytmu wymagające leczenia);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11) </w:t>
            </w:r>
            <w:r w:rsidR="00A92903" w:rsidRPr="004E796C">
              <w:rPr>
                <w:rFonts w:ascii="Times New Roman" w:hAnsi="Times New Roman"/>
              </w:rPr>
              <w:t xml:space="preserve">brak przerzutów </w:t>
            </w:r>
            <w:r w:rsidR="007002D3" w:rsidRPr="004E796C">
              <w:rPr>
                <w:rFonts w:ascii="Times New Roman" w:hAnsi="Times New Roman"/>
              </w:rPr>
              <w:t>w ośrodkowym układzie ner</w:t>
            </w:r>
            <w:r w:rsidR="00B3081B" w:rsidRPr="004E796C">
              <w:rPr>
                <w:rFonts w:ascii="Times New Roman" w:hAnsi="Times New Roman"/>
              </w:rPr>
              <w:softHyphen/>
            </w:r>
            <w:r w:rsidR="007002D3" w:rsidRPr="004E796C">
              <w:rPr>
                <w:rFonts w:ascii="Times New Roman" w:hAnsi="Times New Roman"/>
              </w:rPr>
              <w:t xml:space="preserve">wowym </w:t>
            </w:r>
            <w:r w:rsidR="00A92903" w:rsidRPr="004E796C">
              <w:rPr>
                <w:rFonts w:ascii="Times New Roman" w:hAnsi="Times New Roman"/>
              </w:rPr>
              <w:t>lub cech progresji przerzutów w ośrod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A92903" w:rsidRPr="004E796C">
              <w:rPr>
                <w:rFonts w:ascii="Times New Roman" w:hAnsi="Times New Roman"/>
              </w:rPr>
              <w:t xml:space="preserve">kowym układzie nerwowym po wcześniejszym leczeniu miejscowym (leczenie chirurgiczne lub </w:t>
            </w:r>
            <w:r w:rsidR="007002D3" w:rsidRPr="004E796C">
              <w:rPr>
                <w:rFonts w:ascii="Times New Roman" w:hAnsi="Times New Roman"/>
              </w:rPr>
              <w:t xml:space="preserve">radioterapia) oraz </w:t>
            </w:r>
            <w:r w:rsidR="001F0807" w:rsidRPr="004E796C">
              <w:rPr>
                <w:rFonts w:ascii="Times New Roman" w:hAnsi="Times New Roman"/>
              </w:rPr>
              <w:t>brak</w:t>
            </w:r>
            <w:r w:rsidR="00644EBB" w:rsidRPr="004E796C">
              <w:rPr>
                <w:rFonts w:ascii="Times New Roman" w:hAnsi="Times New Roman"/>
              </w:rPr>
              <w:t xml:space="preserve"> </w:t>
            </w:r>
            <w:r w:rsidR="007002D3" w:rsidRPr="004E796C">
              <w:rPr>
                <w:rFonts w:ascii="Times New Roman" w:hAnsi="Times New Roman"/>
              </w:rPr>
              <w:t xml:space="preserve">objawów </w:t>
            </w:r>
            <w:r w:rsidR="00A92903" w:rsidRPr="004E796C">
              <w:rPr>
                <w:rFonts w:ascii="Times New Roman" w:hAnsi="Times New Roman"/>
              </w:rPr>
              <w:t xml:space="preserve">neurologicznych i </w:t>
            </w:r>
            <w:r w:rsidR="001F0807" w:rsidRPr="004E796C">
              <w:rPr>
                <w:rFonts w:ascii="Times New Roman" w:hAnsi="Times New Roman"/>
              </w:rPr>
              <w:t xml:space="preserve">brak </w:t>
            </w:r>
            <w:r w:rsidR="00B3081B" w:rsidRPr="004E796C">
              <w:rPr>
                <w:rFonts w:ascii="Times New Roman" w:hAnsi="Times New Roman"/>
              </w:rPr>
              <w:t xml:space="preserve">konieczności zwiększania dawki </w:t>
            </w:r>
            <w:r w:rsidR="00A92903" w:rsidRPr="004E796C">
              <w:rPr>
                <w:rFonts w:ascii="Times New Roman" w:hAnsi="Times New Roman"/>
              </w:rPr>
              <w:t>glikokortyko</w:t>
            </w:r>
            <w:r w:rsidR="00B3081B" w:rsidRPr="004E796C">
              <w:rPr>
                <w:rFonts w:ascii="Times New Roman" w:hAnsi="Times New Roman"/>
              </w:rPr>
              <w:softHyphen/>
            </w:r>
            <w:r w:rsidR="00A92903" w:rsidRPr="004E796C">
              <w:rPr>
                <w:rFonts w:ascii="Times New Roman" w:hAnsi="Times New Roman"/>
              </w:rPr>
              <w:t>steroidów w ciągu ostatniego miesiąca przed włą</w:t>
            </w:r>
            <w:r w:rsidR="00DB05D6" w:rsidRPr="004E796C">
              <w:rPr>
                <w:rFonts w:ascii="Times New Roman" w:hAnsi="Times New Roman"/>
              </w:rPr>
              <w:softHyphen/>
            </w:r>
            <w:r w:rsidR="00A92903" w:rsidRPr="004E796C">
              <w:rPr>
                <w:rFonts w:ascii="Times New Roman" w:hAnsi="Times New Roman"/>
              </w:rPr>
              <w:t xml:space="preserve">czeniem do programu; </w:t>
            </w:r>
          </w:p>
          <w:p w:rsidR="00A92903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12) </w:t>
            </w:r>
            <w:r w:rsidR="00A92903" w:rsidRPr="004E796C">
              <w:rPr>
                <w:rFonts w:ascii="Times New Roman" w:hAnsi="Times New Roman"/>
              </w:rPr>
              <w:t>prawidłowa czynność układu krwiotwórczego umożliwiająca leczenie zgod</w:t>
            </w:r>
            <w:r w:rsidR="00F61B6F" w:rsidRPr="004E796C">
              <w:rPr>
                <w:rFonts w:ascii="Times New Roman" w:hAnsi="Times New Roman"/>
              </w:rPr>
              <w:t>nie z aktualną Charak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F61B6F" w:rsidRPr="004E796C">
              <w:rPr>
                <w:rFonts w:ascii="Times New Roman" w:hAnsi="Times New Roman"/>
              </w:rPr>
              <w:t xml:space="preserve">terystyką </w:t>
            </w:r>
            <w:r w:rsidR="00A92903" w:rsidRPr="004E796C">
              <w:rPr>
                <w:rFonts w:ascii="Times New Roman" w:hAnsi="Times New Roman"/>
              </w:rPr>
              <w:t>Produktu Leczniczego</w:t>
            </w:r>
            <w:r w:rsidR="002710BA" w:rsidRPr="004E796C">
              <w:rPr>
                <w:rFonts w:ascii="Times New Roman" w:hAnsi="Times New Roman"/>
              </w:rPr>
              <w:t>;</w:t>
            </w:r>
            <w:r w:rsidR="00A92903" w:rsidRPr="004E796C">
              <w:rPr>
                <w:rFonts w:ascii="Times New Roman" w:hAnsi="Times New Roman"/>
              </w:rPr>
              <w:t xml:space="preserve"> </w:t>
            </w:r>
          </w:p>
          <w:p w:rsidR="00132BC5" w:rsidRPr="004E796C" w:rsidRDefault="00A000D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13) </w:t>
            </w:r>
            <w:r w:rsidR="00A92903" w:rsidRPr="004E796C">
              <w:rPr>
                <w:rFonts w:ascii="Times New Roman" w:hAnsi="Times New Roman"/>
              </w:rPr>
              <w:t>prawidłowa czynność nerek:</w:t>
            </w:r>
          </w:p>
          <w:p w:rsidR="00A92903" w:rsidRPr="004E796C" w:rsidRDefault="00A92903" w:rsidP="004E796C">
            <w:pPr>
              <w:pStyle w:val="Default"/>
              <w:spacing w:line="276" w:lineRule="auto"/>
              <w:ind w:left="2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stężenie kreatyniny nieprz</w:t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ekraczające 1,5-krot</w:t>
            </w:r>
            <w:r w:rsidR="00114F9D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górnej </w:t>
            </w:r>
            <w:r w:rsidR="005320D7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granicy normy</w:t>
            </w:r>
            <w:r w:rsidR="00644EBB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E5779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</w:p>
          <w:p w:rsidR="00A92903" w:rsidRPr="004E796C" w:rsidRDefault="00B3081B" w:rsidP="004E796C">
            <w:pPr>
              <w:pStyle w:val="Default"/>
              <w:spacing w:line="276" w:lineRule="auto"/>
              <w:ind w:left="2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 xml:space="preserve">b) </w:t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>klirens</w:t>
            </w:r>
            <w:r w:rsidR="00FA1E38"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 xml:space="preserve"> kreatyniny </w:t>
            </w:r>
            <w:r w:rsidR="008423B5"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 xml:space="preserve">≥ </w:t>
            </w:r>
            <w:r w:rsidR="00FA1E38"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>30</w:t>
            </w:r>
            <w:r w:rsidR="00557AD0"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 xml:space="preserve"> </w:t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  <w:lang w:val="nb-NO"/>
              </w:rPr>
              <w:t xml:space="preserve">ml/min; </w:t>
            </w:r>
          </w:p>
          <w:p w:rsidR="00E02D17" w:rsidRPr="004E796C" w:rsidRDefault="00A000DF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14) </w:t>
            </w:r>
            <w:r w:rsidR="00E02D17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prawidłowa czynność wątroby:</w:t>
            </w:r>
          </w:p>
          <w:p w:rsidR="00E02D17" w:rsidRPr="004E796C" w:rsidRDefault="00E02D17" w:rsidP="004E796C">
            <w:pPr>
              <w:pStyle w:val="Default"/>
              <w:spacing w:line="276" w:lineRule="auto"/>
              <w:ind w:left="2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stężenie bilirubiny nieprzekraczające 1,5-krotnie górnej granicy normy,</w:t>
            </w:r>
          </w:p>
          <w:p w:rsidR="00A92903" w:rsidRPr="004E796C" w:rsidRDefault="00E02D17" w:rsidP="004E796C">
            <w:pPr>
              <w:pStyle w:val="Default"/>
              <w:spacing w:line="276" w:lineRule="auto"/>
              <w:ind w:left="2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b) aktywność transaminaz i fosfatazy </w:t>
            </w:r>
            <w:r w:rsidR="00010809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zasadowej </w:t>
            </w: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nieprzekraczająca 3-krotnie górn</w:t>
            </w:r>
            <w:r w:rsidR="00AD2D2D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ej </w:t>
            </w: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granicy normy lub</w:t>
            </w:r>
            <w:r w:rsidR="002877A2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nieprzekraczająca 5-krotnie górnej granicy normy w przypadku wzrostu związanego z przerzutami w wątrobie;</w:t>
            </w:r>
          </w:p>
          <w:p w:rsidR="00A92903" w:rsidRPr="004E796C" w:rsidRDefault="00A000DF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15) </w:t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przeciwwskazań do stoso</w:t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wania </w:t>
            </w:r>
            <w:r w:rsidR="002877A2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afatynibu </w:t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</w:t>
            </w:r>
            <w:r w:rsidR="00114F9D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ślonych </w:t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Charakterystyce Produktu Leczniczego; </w:t>
            </w:r>
          </w:p>
          <w:p w:rsidR="00A92903" w:rsidRPr="004E796C" w:rsidRDefault="00A000DF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16)</w:t>
            </w:r>
            <w:r w:rsidRPr="004E79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wykluczone stosowa</w:t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jednoczesnej chemiote</w:t>
            </w:r>
            <w:r w:rsidR="00114F9D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="00F61B6F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rapii </w:t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innych leków ukierunkowanych moleku</w:t>
            </w:r>
            <w:r w:rsidR="00114F9D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="00A92903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larnie. </w:t>
            </w:r>
          </w:p>
          <w:p w:rsidR="00C612A4" w:rsidRPr="004E796C" w:rsidRDefault="00C612A4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2666D" w:rsidRPr="004E796C" w:rsidRDefault="00A92903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kwalifikacji muszą być spełnione łącznie.</w:t>
            </w:r>
          </w:p>
          <w:p w:rsidR="00E2666D" w:rsidRPr="004E796C" w:rsidRDefault="00E2666D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0FEA" w:rsidRPr="004E796C" w:rsidRDefault="00400FEA" w:rsidP="004E796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Określenie czasu leczenia w programie</w:t>
            </w:r>
          </w:p>
          <w:p w:rsidR="00400FEA" w:rsidRPr="004E796C" w:rsidRDefault="00400FEA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Leczenie trwa do czasu podjęcia przez lekarza prowadzącego decyzji o wyłączeniu świadczeniobiorcy z programu, zgo</w:t>
            </w:r>
            <w:r w:rsidR="00FC07C7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nie:</w:t>
            </w:r>
          </w:p>
          <w:p w:rsidR="00400FEA" w:rsidRPr="004E796C" w:rsidRDefault="00400FEA" w:rsidP="004E796C">
            <w:pPr>
              <w:pStyle w:val="Defaul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zasadami terapii określonymi w pkt 2.1 </w:t>
            </w:r>
            <w:r w:rsidR="005530A8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- 2.5</w:t>
            </w:r>
            <w:r w:rsidR="00644EBB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</w:t>
            </w:r>
          </w:p>
          <w:p w:rsidR="008849F2" w:rsidRPr="004E796C" w:rsidRDefault="00400FEA" w:rsidP="004E796C">
            <w:pPr>
              <w:pStyle w:val="Default"/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kryteriami wyłączenia z programu, o których mowa w ust.</w:t>
            </w:r>
            <w:r w:rsidR="0023403D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C07C7" w:rsidRPr="004E7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00FEA" w:rsidRPr="004E796C" w:rsidRDefault="00400FEA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2.1. Stosowanie afatynibu w ramach pierwszej linii leczenia jest prowadzone do stwierdzenia progresji choroby lub wystąpienia działań niepożądanych uniemożliwiających kontynuowanie terapii. </w:t>
            </w:r>
          </w:p>
          <w:p w:rsidR="00400FEA" w:rsidRPr="004E796C" w:rsidRDefault="00400FEA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2.2. W czasie leczenia konieczne jest wykonywa</w:t>
            </w:r>
            <w:r w:rsidRPr="004E796C">
              <w:rPr>
                <w:rFonts w:ascii="Times New Roman" w:hAnsi="Times New Roman"/>
              </w:rPr>
              <w:softHyphen/>
              <w:t>nie badań obrazowych (dodatkowe badania obrazowe wyko</w:t>
            </w:r>
            <w:r w:rsidRPr="004E796C">
              <w:rPr>
                <w:rFonts w:ascii="Times New Roman" w:hAnsi="Times New Roman"/>
              </w:rPr>
              <w:softHyphen/>
              <w:t xml:space="preserve">nuje się w zależności od sytuacji klinicznej): </w:t>
            </w:r>
          </w:p>
          <w:p w:rsidR="00400FEA" w:rsidRPr="004E796C" w:rsidRDefault="00400FEA" w:rsidP="004E796C">
            <w:pPr>
              <w:spacing w:line="276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1) przed leczeniem – nie wcześniej niż 28 dni przed </w:t>
            </w:r>
          </w:p>
          <w:p w:rsidR="00400FEA" w:rsidRPr="004E796C" w:rsidRDefault="00400FEA" w:rsidP="004E796C">
            <w:pPr>
              <w:spacing w:line="276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    zastosowaniem pierwszej dawki leku;  </w:t>
            </w:r>
          </w:p>
          <w:p w:rsidR="00400FEA" w:rsidRPr="004E796C" w:rsidRDefault="008849F2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2) </w:t>
            </w:r>
            <w:r w:rsidR="00400FEA" w:rsidRPr="004E796C">
              <w:rPr>
                <w:rFonts w:ascii="Times New Roman" w:hAnsi="Times New Roman"/>
              </w:rPr>
              <w:t>w czasie leczenia – pierwsza ocena po 8 tygodniach, a kolejne w odstępach 3-miesięcznych</w:t>
            </w:r>
            <w:r w:rsidR="0023403D" w:rsidRPr="004E796C">
              <w:rPr>
                <w:rFonts w:ascii="Times New Roman" w:hAnsi="Times New Roman"/>
              </w:rPr>
              <w:t xml:space="preserve"> – waż</w:t>
            </w:r>
            <w:r w:rsidR="0023403D" w:rsidRPr="004E796C">
              <w:rPr>
                <w:rFonts w:ascii="Times New Roman" w:hAnsi="Times New Roman"/>
              </w:rPr>
              <w:softHyphen/>
              <w:t>ność badania – 14 dni.</w:t>
            </w:r>
          </w:p>
          <w:p w:rsidR="00400FEA" w:rsidRPr="004E796C" w:rsidRDefault="00400FEA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2.3. Badania obrazowe obejmują:</w:t>
            </w:r>
          </w:p>
          <w:p w:rsidR="00400FEA" w:rsidRPr="004E796C" w:rsidRDefault="00400FEA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1) ocenę zmiany pier</w:t>
            </w:r>
            <w:r w:rsidRPr="004E796C">
              <w:rPr>
                <w:rFonts w:ascii="Times New Roman" w:hAnsi="Times New Roman"/>
              </w:rPr>
              <w:softHyphen/>
              <w:t xml:space="preserve">wotnej: </w:t>
            </w:r>
          </w:p>
          <w:p w:rsidR="00400FEA" w:rsidRPr="004E796C" w:rsidRDefault="00400FEA" w:rsidP="004E796C">
            <w:pPr>
              <w:spacing w:line="276" w:lineRule="auto"/>
              <w:ind w:left="215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a) badanie tomografii komputerowej klatki piersio</w:t>
            </w:r>
            <w:r w:rsidRPr="004E796C">
              <w:rPr>
                <w:rFonts w:ascii="Times New Roman" w:hAnsi="Times New Roman"/>
              </w:rPr>
              <w:softHyphen/>
              <w:t xml:space="preserve">wej z  objęciem nadbrzusza lub </w:t>
            </w:r>
          </w:p>
          <w:p w:rsidR="00400FEA" w:rsidRPr="004E796C" w:rsidRDefault="00400FEA" w:rsidP="004E796C">
            <w:pPr>
              <w:spacing w:line="276" w:lineRule="auto"/>
              <w:ind w:left="215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b) badanie RTG klatki piersiowej w przypadku zmiany dobrze mierzalnej, otoczonej przez prawi</w:t>
            </w:r>
            <w:r w:rsidRPr="004E796C">
              <w:rPr>
                <w:rFonts w:ascii="Times New Roman" w:hAnsi="Times New Roman"/>
              </w:rPr>
              <w:softHyphen/>
              <w:t>dłow</w:t>
            </w:r>
            <w:r w:rsidR="00690594" w:rsidRPr="004E796C">
              <w:rPr>
                <w:rFonts w:ascii="Times New Roman" w:hAnsi="Times New Roman"/>
              </w:rPr>
              <w:t>o upowietrzniony miąższ płucny;</w:t>
            </w:r>
          </w:p>
          <w:p w:rsidR="00400FEA" w:rsidRPr="004E796C" w:rsidRDefault="00400FEA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2) ocenę zmian przerzutowych - w zależności od sytuacji klinicznej i lokalizacji badanie tomografii kompute</w:t>
            </w:r>
            <w:r w:rsidRPr="004E796C">
              <w:rPr>
                <w:rFonts w:ascii="Times New Roman" w:hAnsi="Times New Roman"/>
              </w:rPr>
              <w:softHyphen/>
              <w:t>rowej lub inne badania obrazowe (USG, rezonans magne</w:t>
            </w:r>
            <w:r w:rsidRPr="004E796C">
              <w:rPr>
                <w:rFonts w:ascii="Times New Roman" w:hAnsi="Times New Roman"/>
              </w:rPr>
              <w:softHyphen/>
              <w:t>tyczny, scyntygrafia i inne) pozwalające na pomiar zmian mierzalnych. Badania obrazowe w trakcie leczenia powinny obejmować ocenę zmian mierzal</w:t>
            </w:r>
            <w:r w:rsidRPr="004E796C">
              <w:rPr>
                <w:rFonts w:ascii="Times New Roman" w:hAnsi="Times New Roman"/>
              </w:rPr>
              <w:softHyphen/>
              <w:t xml:space="preserve">nych, które zostały opisane przed rozpoczęciem leczenia. </w:t>
            </w:r>
          </w:p>
          <w:p w:rsidR="005530A8" w:rsidRPr="004E796C" w:rsidRDefault="005530A8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2.4</w:t>
            </w:r>
            <w:r w:rsidR="0093256F" w:rsidRPr="004E796C">
              <w:rPr>
                <w:rFonts w:ascii="Times New Roman" w:hAnsi="Times New Roman"/>
              </w:rPr>
              <w:t>.</w:t>
            </w:r>
            <w:r w:rsidRPr="004E796C">
              <w:rPr>
                <w:rFonts w:ascii="Times New Roman" w:hAnsi="Times New Roman"/>
              </w:rPr>
              <w:t xml:space="preserve"> Jeżeli pierwotny guz płuca nie istnieje (stan po resekcji płuca, nowotwór płuca bez ogniska pierwotnego), konieczne jest wykazanie w badaniach obrazowych przerzutowych zmian mierzalnych lub policzalnych zmian niemierzalnych.</w:t>
            </w:r>
          </w:p>
          <w:p w:rsidR="00E2666D" w:rsidRPr="004E796C" w:rsidRDefault="005530A8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400FEA" w:rsidRPr="004E7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FEA" w:rsidRPr="004E796C">
              <w:rPr>
                <w:rFonts w:ascii="Times New Roman" w:hAnsi="Times New Roman" w:cs="Times New Roman"/>
                <w:color w:val="4F81BD"/>
                <w:sz w:val="20"/>
                <w:szCs w:val="20"/>
              </w:rPr>
              <w:t xml:space="preserve"> </w:t>
            </w:r>
            <w:r w:rsidR="00400FEA" w:rsidRPr="004E796C">
              <w:rPr>
                <w:rFonts w:ascii="Times New Roman" w:hAnsi="Times New Roman" w:cs="Times New Roman"/>
                <w:sz w:val="20"/>
                <w:szCs w:val="20"/>
              </w:rPr>
              <w:t>Ocenę wyniku leczenia (odpowiedź) należy wykonywać według kryteriów skali RECIST 1.1</w:t>
            </w:r>
            <w:r w:rsidR="00922F80" w:rsidRPr="004E7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FEA" w:rsidRPr="004E7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0DF" w:rsidRPr="004E796C" w:rsidRDefault="00A000DF" w:rsidP="004E79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F0D" w:rsidRPr="004E796C" w:rsidRDefault="00E2666D" w:rsidP="004E796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</w:t>
            </w:r>
            <w:r w:rsidR="00215F0D" w:rsidRPr="004E79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wyłączenia</w:t>
            </w:r>
            <w:r w:rsidR="00D24240" w:rsidRPr="004E79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 programu</w:t>
            </w:r>
          </w:p>
          <w:p w:rsidR="005530A8" w:rsidRPr="004E796C" w:rsidRDefault="008849F2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1) </w:t>
            </w:r>
            <w:r w:rsidR="00D24240" w:rsidRPr="004E796C">
              <w:rPr>
                <w:rFonts w:ascii="Times New Roman" w:hAnsi="Times New Roman"/>
              </w:rPr>
              <w:t>progresja choroby</w:t>
            </w:r>
            <w:r w:rsidR="003B2B46" w:rsidRPr="004E796C">
              <w:rPr>
                <w:rFonts w:ascii="Times New Roman" w:hAnsi="Times New Roman"/>
              </w:rPr>
              <w:t xml:space="preserve"> zgodnie z kryteriami RECIST</w:t>
            </w:r>
            <w:r w:rsidR="00E02D17" w:rsidRPr="004E796C">
              <w:rPr>
                <w:rFonts w:ascii="Times New Roman" w:hAnsi="Times New Roman"/>
              </w:rPr>
              <w:t xml:space="preserve"> </w:t>
            </w:r>
            <w:r w:rsidR="00BD33DA" w:rsidRPr="004E796C">
              <w:rPr>
                <w:rFonts w:ascii="Times New Roman" w:hAnsi="Times New Roman"/>
              </w:rPr>
              <w:t>1</w:t>
            </w:r>
            <w:r w:rsidR="00E02D17" w:rsidRPr="004E796C">
              <w:rPr>
                <w:rFonts w:ascii="Times New Roman" w:hAnsi="Times New Roman"/>
              </w:rPr>
              <w:t>.1</w:t>
            </w:r>
            <w:r w:rsidR="005530A8" w:rsidRPr="004E796C">
              <w:rPr>
                <w:rFonts w:ascii="Times New Roman" w:hAnsi="Times New Roman"/>
              </w:rPr>
              <w:t>:</w:t>
            </w:r>
          </w:p>
          <w:p w:rsidR="005530A8" w:rsidRPr="004E796C" w:rsidRDefault="005530A8" w:rsidP="004E796C">
            <w:pPr>
              <w:spacing w:line="276" w:lineRule="auto"/>
              <w:ind w:left="215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a) powiększenie się istniejących zmian o przynajmniej 20% lub</w:t>
            </w:r>
          </w:p>
          <w:p w:rsidR="00D24240" w:rsidRPr="004E796C" w:rsidRDefault="005530A8" w:rsidP="004E796C">
            <w:pPr>
              <w:spacing w:line="276" w:lineRule="auto"/>
              <w:ind w:left="215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b) pojawienie się przynajmniej jednej nowej zmiany</w:t>
            </w:r>
            <w:r w:rsidR="0093256F" w:rsidRPr="004E796C">
              <w:rPr>
                <w:rFonts w:ascii="Times New Roman" w:hAnsi="Times New Roman"/>
              </w:rPr>
              <w:t xml:space="preserve"> </w:t>
            </w:r>
            <w:r w:rsidRPr="004E796C">
              <w:rPr>
                <w:rFonts w:ascii="Times New Roman" w:hAnsi="Times New Roman"/>
              </w:rPr>
              <w:t>- potwierdzona w badaniu przedmiotowym lub obrazowym;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2) pogorszenie stanu pacjenta w związku z nowo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Pr="004E796C">
              <w:rPr>
                <w:rFonts w:ascii="Times New Roman" w:hAnsi="Times New Roman"/>
              </w:rPr>
              <w:t>tworem bez progresji potwierdzonej w badaniu przedmiotowym lub obrazowym</w:t>
            </w:r>
            <w:r w:rsidR="0093256F" w:rsidRPr="004E796C">
              <w:rPr>
                <w:rFonts w:ascii="Times New Roman" w:hAnsi="Times New Roman"/>
              </w:rPr>
              <w:t>;</w:t>
            </w:r>
          </w:p>
          <w:p w:rsidR="006E6BE9" w:rsidRPr="004E796C" w:rsidRDefault="006E6BE9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3) wystąpienie klinicznie istotnej toksyczności leczenia lub wystąpienie przynajmniej jednego działania niepożądanego będącego zagrożeniem życia według kryteriów klasyfikacji CTC-AE w wersji 4.03 (Common Terminology Criteria for Adverse Events - version 4.03);</w:t>
            </w:r>
          </w:p>
          <w:p w:rsidR="006E6BE9" w:rsidRPr="004E796C" w:rsidRDefault="006E6BE9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4) wystąpienie nawracającej lub nieakceptowalnej toksyczności leczenia w stopniu 3. lub 4. według kryteriów klasyfikacji CTC-AE w wersji 4.03 (wznowienie leczenia możliwe po ustąpieniu objawów toksyczności lub zmniejszeniu nasilenia do stopnia 1. lub 2. według kryteriów klasyfikacji CTC-AE w wersji 4.03);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5) nadwrażliwość na lek lub na substancję pomoc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Pr="004E796C">
              <w:rPr>
                <w:rFonts w:ascii="Times New Roman" w:hAnsi="Times New Roman"/>
              </w:rPr>
              <w:t>niczą</w:t>
            </w:r>
            <w:r w:rsidR="0093256F" w:rsidRPr="004E796C">
              <w:rPr>
                <w:rFonts w:ascii="Times New Roman" w:hAnsi="Times New Roman"/>
              </w:rPr>
              <w:t>;</w:t>
            </w:r>
            <w:r w:rsidRPr="004E796C">
              <w:rPr>
                <w:rFonts w:ascii="Times New Roman" w:hAnsi="Times New Roman"/>
              </w:rPr>
              <w:t xml:space="preserve">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6) obniżenie sprawności do stopnia </w:t>
            </w:r>
            <w:r w:rsidR="005530A8" w:rsidRPr="004E796C">
              <w:rPr>
                <w:rFonts w:ascii="Times New Roman" w:hAnsi="Times New Roman"/>
              </w:rPr>
              <w:t>2</w:t>
            </w:r>
            <w:r w:rsidRPr="004E796C">
              <w:rPr>
                <w:rFonts w:ascii="Times New Roman" w:hAnsi="Times New Roman"/>
              </w:rPr>
              <w:t>-4 według kryteriów WHO</w:t>
            </w:r>
            <w:r w:rsidR="0093256F" w:rsidRPr="004E796C">
              <w:rPr>
                <w:rFonts w:ascii="Times New Roman" w:hAnsi="Times New Roman"/>
              </w:rPr>
              <w:t>;</w:t>
            </w:r>
            <w:r w:rsidRPr="004E796C">
              <w:rPr>
                <w:rFonts w:ascii="Times New Roman" w:hAnsi="Times New Roman"/>
              </w:rPr>
              <w:t xml:space="preserve">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7) przerwa w przyjmowaniu </w:t>
            </w:r>
            <w:r w:rsidR="00DB05D6" w:rsidRPr="004E796C">
              <w:rPr>
                <w:rFonts w:ascii="Times New Roman" w:hAnsi="Times New Roman"/>
              </w:rPr>
              <w:t>afatynibu</w:t>
            </w:r>
            <w:r w:rsidRPr="004E796C">
              <w:rPr>
                <w:rFonts w:ascii="Times New Roman" w:hAnsi="Times New Roman"/>
              </w:rPr>
              <w:t xml:space="preserve"> dłuższa niż trzy tygodnie, która została spowodowana niepożą</w:t>
            </w:r>
            <w:r w:rsidR="00114F9D" w:rsidRPr="004E796C">
              <w:rPr>
                <w:rFonts w:ascii="Times New Roman" w:hAnsi="Times New Roman"/>
              </w:rPr>
              <w:softHyphen/>
            </w:r>
            <w:r w:rsidR="00C67EFB" w:rsidRPr="004E796C">
              <w:rPr>
                <w:rFonts w:ascii="Times New Roman" w:hAnsi="Times New Roman"/>
              </w:rPr>
              <w:t>danym działaniem leczenia;</w:t>
            </w:r>
            <w:r w:rsidRPr="004E796C">
              <w:rPr>
                <w:rFonts w:ascii="Times New Roman" w:hAnsi="Times New Roman"/>
              </w:rPr>
              <w:t xml:space="preserve"> </w:t>
            </w:r>
          </w:p>
          <w:p w:rsidR="00D24240" w:rsidRPr="004E796C" w:rsidRDefault="00B3081B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8</w:t>
            </w:r>
            <w:r w:rsidR="00D24240" w:rsidRPr="004E796C">
              <w:rPr>
                <w:rFonts w:ascii="Times New Roman" w:hAnsi="Times New Roman"/>
              </w:rPr>
              <w:t>) pogorszenie jakości życ</w:t>
            </w:r>
            <w:r w:rsidRPr="004E796C">
              <w:rPr>
                <w:rFonts w:ascii="Times New Roman" w:hAnsi="Times New Roman"/>
              </w:rPr>
              <w:t xml:space="preserve">ia o istotnym znaczeniu według </w:t>
            </w:r>
            <w:r w:rsidR="00D24240" w:rsidRPr="004E796C">
              <w:rPr>
                <w:rFonts w:ascii="Times New Roman" w:hAnsi="Times New Roman"/>
              </w:rPr>
              <w:t xml:space="preserve">oceny lekarza; </w:t>
            </w:r>
          </w:p>
          <w:p w:rsidR="00104A9A" w:rsidRPr="004E796C" w:rsidRDefault="00B3081B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9</w:t>
            </w:r>
            <w:r w:rsidR="00D24240" w:rsidRPr="004E796C">
              <w:rPr>
                <w:rFonts w:ascii="Times New Roman" w:hAnsi="Times New Roman"/>
              </w:rPr>
              <w:t>) rezygnacja pacjenta - wycofanie zgody na udział w programie.</w:t>
            </w:r>
          </w:p>
          <w:p w:rsidR="00104A9A" w:rsidRPr="004E796C" w:rsidRDefault="00104A9A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FC4564" w:rsidRPr="004E796C" w:rsidRDefault="00FC4564" w:rsidP="004E796C">
            <w:pPr>
              <w:spacing w:before="120" w:line="276" w:lineRule="auto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lastRenderedPageBreak/>
              <w:t xml:space="preserve">Dawkowanie leków w programie i modyfikowanie leczenia powinno być zgodne z Charakterystyką Produktu Leczniczego. </w:t>
            </w:r>
          </w:p>
          <w:p w:rsidR="00F03156" w:rsidRPr="004E796C" w:rsidRDefault="00F03156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E40FC" w:rsidRPr="004E796C" w:rsidRDefault="0003182C" w:rsidP="004E796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Badania przy kwalifikacji</w:t>
            </w:r>
            <w:r w:rsidR="00364EA3" w:rsidRPr="004E796C">
              <w:rPr>
                <w:rFonts w:ascii="Times New Roman" w:hAnsi="Times New Roman"/>
                <w:b/>
              </w:rPr>
              <w:t xml:space="preserve"> do leczenia a</w:t>
            </w:r>
            <w:r w:rsidR="00F61B6F" w:rsidRPr="004E796C">
              <w:rPr>
                <w:rFonts w:ascii="Times New Roman" w:hAnsi="Times New Roman"/>
                <w:b/>
              </w:rPr>
              <w:t>fatynib</w:t>
            </w:r>
            <w:r w:rsidR="00364EA3" w:rsidRPr="004E796C">
              <w:rPr>
                <w:rFonts w:ascii="Times New Roman" w:hAnsi="Times New Roman"/>
                <w:b/>
              </w:rPr>
              <w:t>em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1)</w:t>
            </w:r>
            <w:r w:rsidR="00AA0407" w:rsidRPr="004E796C">
              <w:rPr>
                <w:rFonts w:ascii="Times New Roman" w:hAnsi="Times New Roman"/>
              </w:rPr>
              <w:t xml:space="preserve"> </w:t>
            </w:r>
            <w:r w:rsidRPr="004E796C">
              <w:rPr>
                <w:rFonts w:ascii="Times New Roman" w:hAnsi="Times New Roman"/>
              </w:rPr>
              <w:t xml:space="preserve">histologiczne lub cytologiczne potwierdzenie określonego typu niedrobnokomórkowego raka płuca zgodnie z kryteriami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włączenia;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2) ocena obecności aktywującej mutacji genu EGFR;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3) morfologia krwi z rozmazem;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4) oznaczeni</w:t>
            </w:r>
            <w:r w:rsidR="006B5D98" w:rsidRPr="004E796C">
              <w:rPr>
                <w:rFonts w:ascii="Times New Roman" w:hAnsi="Times New Roman"/>
              </w:rPr>
              <w:t>e</w:t>
            </w:r>
            <w:r w:rsidRPr="004E796C">
              <w:rPr>
                <w:rFonts w:ascii="Times New Roman" w:hAnsi="Times New Roman"/>
              </w:rPr>
              <w:t xml:space="preserve"> stężenia kreatyniny;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5) oznaczenie stężenia bilirubiny;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6) oznaczenie aktywności aminotransferazy alaninowej;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7) oznaczenie aktywności aminotransferazy asparaginianowej</w:t>
            </w:r>
            <w:r w:rsidR="00AD15F1" w:rsidRPr="004E796C">
              <w:rPr>
                <w:rFonts w:ascii="Times New Roman" w:hAnsi="Times New Roman"/>
              </w:rPr>
              <w:t>;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8) oznaczenie aktywności fosfatazy zasadowej;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9) test ciążowy u kobiet w wieku rozrodczym;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10) badanie tomografii komputerowej klatki piersiowej z objęciem nadbrzusza </w:t>
            </w:r>
            <w:r w:rsidR="00FA1E38" w:rsidRPr="004E796C">
              <w:rPr>
                <w:rFonts w:ascii="Times New Roman" w:hAnsi="Times New Roman"/>
              </w:rPr>
              <w:t>lub</w:t>
            </w:r>
            <w:r w:rsidRPr="004E796C">
              <w:rPr>
                <w:rFonts w:ascii="Times New Roman" w:hAnsi="Times New Roman"/>
              </w:rPr>
              <w:t xml:space="preserve"> klasyczne badanie RTG klatki piersiowej w przypadku zmiany dobrze mierzalnej, otoczonej przez prawidłowo upowietrzniony miąższ płucny; </w:t>
            </w:r>
          </w:p>
          <w:p w:rsidR="0003182C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11) badanie tomografii komputerowej innej lokalizacji lub inne badania obrazowe (ultrasonografia - USG, rezonans magnetyczny - MR, scyntygrafia) w </w:t>
            </w:r>
            <w:r w:rsidRPr="004E796C">
              <w:rPr>
                <w:rFonts w:ascii="Times New Roman" w:hAnsi="Times New Roman"/>
              </w:rPr>
              <w:lastRenderedPageBreak/>
              <w:t>zależności od sytuacji klin</w:t>
            </w:r>
            <w:r w:rsidR="00D856F7" w:rsidRPr="004E796C">
              <w:rPr>
                <w:rFonts w:ascii="Times New Roman" w:hAnsi="Times New Roman"/>
              </w:rPr>
              <w:t>icznej</w:t>
            </w:r>
            <w:r w:rsidRPr="004E796C">
              <w:rPr>
                <w:rFonts w:ascii="Times New Roman" w:hAnsi="Times New Roman"/>
              </w:rPr>
              <w:t>.</w:t>
            </w:r>
          </w:p>
          <w:p w:rsidR="00A75AC4" w:rsidRPr="004E796C" w:rsidRDefault="00A75AC4" w:rsidP="004E796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E75DA9" w:rsidRPr="004E796C" w:rsidRDefault="00830AD3" w:rsidP="004E796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2. Monitorowanie leczenia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1) badanie tomografii komputerowej klatki piersiowej z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objęciem nadbrzusza lub klasyczne badanie RTG klatki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piersiowej w przypadku zmiany dobrze mierzalnej, otoczonej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przez prawidłowo upowietrzniony miąższ płucny;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2) badanie tomografii komputerowej innej lokalizacji lub inne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badania obrazowe (ultrasonografia – USG, rezonans </w:t>
            </w:r>
          </w:p>
          <w:p w:rsidR="00D24240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magnetyczny– MR, scyntygrafia) w zależności od sytuacji </w:t>
            </w:r>
          </w:p>
          <w:p w:rsidR="00F03156" w:rsidRPr="004E796C" w:rsidRDefault="005B086C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klinicznej</w:t>
            </w:r>
            <w:r w:rsidR="00922F80" w:rsidRPr="004E796C">
              <w:rPr>
                <w:rFonts w:ascii="Times New Roman" w:hAnsi="Times New Roman"/>
              </w:rPr>
              <w:t>;</w:t>
            </w:r>
          </w:p>
          <w:p w:rsidR="00200D8F" w:rsidRPr="004E796C" w:rsidRDefault="00D24240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3) badanie czynności wątroby (</w:t>
            </w:r>
            <w:r w:rsidR="00075C2F" w:rsidRPr="004E796C">
              <w:rPr>
                <w:rFonts w:ascii="Times New Roman" w:hAnsi="Times New Roman"/>
              </w:rPr>
              <w:t>aktywność aminotransferaz</w:t>
            </w:r>
            <w:r w:rsidRPr="004E796C">
              <w:rPr>
                <w:rFonts w:ascii="Times New Roman" w:hAnsi="Times New Roman"/>
              </w:rPr>
              <w:t xml:space="preserve"> i </w:t>
            </w:r>
            <w:r w:rsidR="00075C2F" w:rsidRPr="004E796C">
              <w:rPr>
                <w:rFonts w:ascii="Times New Roman" w:hAnsi="Times New Roman"/>
              </w:rPr>
              <w:t>stężenie bilirubiny)</w:t>
            </w:r>
            <w:r w:rsidR="00F20786" w:rsidRPr="004E796C">
              <w:rPr>
                <w:rFonts w:ascii="Times New Roman" w:hAnsi="Times New Roman"/>
              </w:rPr>
              <w:t>.</w:t>
            </w:r>
          </w:p>
          <w:p w:rsidR="00F20786" w:rsidRPr="004E796C" w:rsidRDefault="00F20786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Badania wykonywane są przed rozpoczęciem leczenia, po 6 tygodniu leczenia w przypadku pkt. 3</w:t>
            </w:r>
            <w:r w:rsidR="0035323A" w:rsidRPr="004E796C">
              <w:rPr>
                <w:rFonts w:ascii="Times New Roman" w:hAnsi="Times New Roman"/>
              </w:rPr>
              <w:t>)</w:t>
            </w:r>
            <w:r w:rsidRPr="004E796C">
              <w:rPr>
                <w:rFonts w:ascii="Times New Roman" w:hAnsi="Times New Roman"/>
              </w:rPr>
              <w:t xml:space="preserve"> lub po 8 tygodniu leczenia w przypadku pkt.</w:t>
            </w:r>
            <w:r w:rsidR="0035323A" w:rsidRPr="004E796C">
              <w:rPr>
                <w:rFonts w:ascii="Times New Roman" w:hAnsi="Times New Roman"/>
              </w:rPr>
              <w:t xml:space="preserve"> </w:t>
            </w:r>
            <w:r w:rsidRPr="004E796C">
              <w:rPr>
                <w:rFonts w:ascii="Times New Roman" w:hAnsi="Times New Roman"/>
              </w:rPr>
              <w:t>1</w:t>
            </w:r>
            <w:r w:rsidR="0035323A" w:rsidRPr="004E796C">
              <w:rPr>
                <w:rFonts w:ascii="Times New Roman" w:hAnsi="Times New Roman"/>
              </w:rPr>
              <w:t>)</w:t>
            </w:r>
            <w:r w:rsidRPr="004E796C">
              <w:rPr>
                <w:rFonts w:ascii="Times New Roman" w:hAnsi="Times New Roman"/>
              </w:rPr>
              <w:t xml:space="preserve"> lub </w:t>
            </w:r>
            <w:r w:rsidR="0035323A" w:rsidRPr="004E796C">
              <w:rPr>
                <w:rFonts w:ascii="Times New Roman" w:hAnsi="Times New Roman"/>
              </w:rPr>
              <w:t>2)</w:t>
            </w:r>
            <w:r w:rsidRPr="004E796C">
              <w:rPr>
                <w:rFonts w:ascii="Times New Roman" w:hAnsi="Times New Roman"/>
              </w:rPr>
              <w:t xml:space="preserve">, a następnie w odstępach 3-miesięcznych. </w:t>
            </w:r>
          </w:p>
          <w:p w:rsidR="00D179F8" w:rsidRPr="004E796C" w:rsidRDefault="00075C2F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>W przypadku wystąpienia u chorego objawów hepatotoksyczności dopuszcza się większą częstotliwość badań czynności wątroby.</w:t>
            </w:r>
          </w:p>
          <w:p w:rsidR="00C06D93" w:rsidRPr="004E796C" w:rsidRDefault="00C06D93" w:rsidP="004E796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4D62E2" w:rsidRPr="004E796C" w:rsidRDefault="004D62E2" w:rsidP="004E796C">
            <w:pPr>
              <w:numPr>
                <w:ilvl w:val="0"/>
                <w:numId w:val="15"/>
              </w:numPr>
              <w:spacing w:line="276" w:lineRule="auto"/>
              <w:ind w:left="334"/>
              <w:jc w:val="both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t>Monitorowanie programu</w:t>
            </w:r>
          </w:p>
          <w:p w:rsidR="00832A07" w:rsidRPr="004E796C" w:rsidRDefault="008646D5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1) </w:t>
            </w:r>
            <w:r w:rsidR="00832A07" w:rsidRPr="004E796C">
              <w:rPr>
                <w:rFonts w:ascii="Times New Roman" w:hAnsi="Times New Roman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832A07" w:rsidRPr="004E796C" w:rsidRDefault="008646D5" w:rsidP="004E796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796C">
              <w:rPr>
                <w:rFonts w:ascii="Times New Roman" w:hAnsi="Times New Roman"/>
              </w:rPr>
              <w:t xml:space="preserve">2) </w:t>
            </w:r>
            <w:r w:rsidR="00832A07" w:rsidRPr="004E796C">
              <w:rPr>
                <w:rFonts w:ascii="Times New Roman" w:hAnsi="Times New Roman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E2666D" w:rsidRPr="004E796C" w:rsidRDefault="008646D5" w:rsidP="004E796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</w:rPr>
              <w:lastRenderedPageBreak/>
              <w:t xml:space="preserve">3) </w:t>
            </w:r>
            <w:r w:rsidR="00832A07" w:rsidRPr="004E796C">
              <w:rPr>
                <w:rFonts w:ascii="Times New Roman" w:hAnsi="Times New Roman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222FCE" w:rsidRPr="004E796C" w:rsidRDefault="00222FCE" w:rsidP="004E796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104A9A" w:rsidRPr="004E796C" w:rsidTr="00632659">
        <w:tc>
          <w:tcPr>
            <w:tcW w:w="15304" w:type="dxa"/>
            <w:gridSpan w:val="3"/>
            <w:tcBorders>
              <w:right w:val="single" w:sz="4" w:space="0" w:color="auto"/>
            </w:tcBorders>
          </w:tcPr>
          <w:p w:rsidR="00104A9A" w:rsidRPr="004E796C" w:rsidRDefault="00104A9A" w:rsidP="004E796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796C">
              <w:rPr>
                <w:rFonts w:ascii="Times New Roman" w:hAnsi="Times New Roman"/>
                <w:b/>
              </w:rPr>
              <w:lastRenderedPageBreak/>
              <w:t>LECZENIE NIEDROBNOKOMÓRKOWEGO RAKA PŁUCA Z ZASTOSOWANIEM NINTEDANIBU</w:t>
            </w:r>
          </w:p>
        </w:tc>
      </w:tr>
      <w:tr w:rsidR="00104A9A" w:rsidRPr="004E796C" w:rsidTr="00632659">
        <w:tc>
          <w:tcPr>
            <w:tcW w:w="6374" w:type="dxa"/>
          </w:tcPr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E796C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b/>
                <w:bCs/>
                <w:color w:val="000000" w:themeColor="text1"/>
              </w:rPr>
              <w:t>. Kryteria kwalifikowania chorych na niedrobnokomórkowego raka płuca do leczenia drugiej linii (chorzy z niepowodzeniem wcześniejszej chemioterapii wielolekowej z udziałem pochodnych platyny lub monoterapii stosowanej z powodu zaawansowanego nowotworu) – nintedanib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 xml:space="preserve">.1. rozpoznanie histologiczne lub cytologiczne raka gruczołowego lub niedrobnokomórkowego raka płuca z przewagą gruczolakoraka; 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.2. zaawansowanie miejscowe (stopień III – z wyjątkiem przypadków, w których możliwe jest zastosowanie radiochemioterapii, radioterapii lub chirurgicznego leczenia) lub uogólnienie (stopień IV);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.3. obecność zmian możliwych do zmierzenia w celu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przeprowadzenia obiektywnej oceny odpowiedzi w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badaniach obrazowych z zastosowaniem kryteriów oceny systemu RECIST 1.1 lub obecność policzalnych zmian niemierzalnych;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.4. nieobecność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glikokortykosteroidów w ciągu ostatniego miesiąca przed włączeniem do programu;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.5. wiek powyżej 18. roku życia;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.6. sprawność w stopniu 0-2 wg klasyfikacji Zubroda-WHO lub ECOG;</w:t>
            </w:r>
          </w:p>
          <w:p w:rsidR="00F02A67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.7. wykluczenie współwystępowania chorób o istotnym klinicznie znaczeniu bez możliwości kontroli za pomocą właściwego leczenia;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 xml:space="preserve"> leczenia (ze szczególnym uwzględnieniem nadciśnienia tętniczego);</w:t>
            </w:r>
          </w:p>
          <w:p w:rsidR="00A661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1.8 wykluczenie współwystępowania w przeszłości choroby zakrzepowo-zatorowej;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9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 xml:space="preserve">. czynność układu krwiotwórczego umożliwiająca 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leczenie zgodnie z aktualną Charakterystyką Produktu Leczniczego;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10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 czynność nerek umożliwiająca leczenie (stężenie kreatyniny nieprzekraczające 1,5-krotnie górnej granicy normy);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.1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 czynność wątroby umożliwiająca leczenie: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a) stężenie bilirubiny nieprzekraczające 1,5-krotnie górnej granicy normy,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b) aktywność transaminaz i zasadowej fosfatazy nieprzekraczająca 5-krotnie górnej granicy normy;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.1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2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 nieobecność przeciwwskazań do stosowania nintedanibu;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.1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3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 wykluczenie wcześniejszego stosowania docetakselu oraz leków antyangiogennych;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.1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4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 ustąpienie lub zmniejszenie do 1. stopnia niepożądanych działań związanych z wcześniejszym leczeniem (wyjątek – utrata włosów);</w:t>
            </w:r>
          </w:p>
          <w:p w:rsidR="007F5E48" w:rsidRPr="004E796C" w:rsidRDefault="00BA43C6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.1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5</w:t>
            </w:r>
            <w:r w:rsidR="007F5E48" w:rsidRPr="004E796C">
              <w:rPr>
                <w:rFonts w:ascii="Times New Roman" w:hAnsi="Times New Roman"/>
                <w:color w:val="000000" w:themeColor="text1"/>
              </w:rPr>
              <w:t>. wykluczenie współwystępowania innych nowotworów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złośliwych leczonych z założeniem paliatywnym (niezależnie od uzyskanej odpowiedzi) oraz nieuzyskanie całkowitej odpowiedzi w przypadku nowotworów leczonych z założeniem radykalnym.</w:t>
            </w: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F5E48" w:rsidRPr="004E796C" w:rsidRDefault="007F5E48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Kryteria kwalifikowania muszą być spełnione łącznie.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E796C">
              <w:rPr>
                <w:rFonts w:ascii="Times New Roman" w:hAnsi="Times New Roman"/>
                <w:b/>
                <w:color w:val="000000" w:themeColor="text1"/>
              </w:rPr>
              <w:t>2. Określenie czasu leczenia w programie.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 xml:space="preserve">Leczenie trwa do czasu podjęcia przez lekarza prowadzącego decyzji o wyłączeniu świadczeniobiorcy z programu zgodnie z: 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(1) z zasadami terapii określonymi w punktach 2.1.1., 2.1.2., 2.1.3.;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oraz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(2) z kryteriami wyłączenia z programu, o których mowa w punkcie 3.</w:t>
            </w:r>
          </w:p>
          <w:p w:rsidR="00FC4564" w:rsidRPr="004E796C" w:rsidRDefault="00FC4564" w:rsidP="004E796C">
            <w:pPr>
              <w:spacing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2.1.1. Stosowanie leków jest prowadzone do stwierdzenia progresji choroby lub wystąpienia poważnych działań niepożądanych.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2.1.2. W czasie leczenia konieczne jest wykonywanie badań obrazowych (dodatkowe badania obrazowe wykonuje się w zależności od sytuacji klinicznej):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 xml:space="preserve">(1) przed leczeniem - nie wcześniej niż 28 dni przed zastosowaniem pierwszej dawki leku; </w:t>
            </w:r>
          </w:p>
          <w:p w:rsidR="00FC4564" w:rsidRPr="004E796C" w:rsidRDefault="00FC4564" w:rsidP="004E796C">
            <w:pPr>
              <w:spacing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 xml:space="preserve">(2) w czasie leczenia - </w:t>
            </w:r>
            <w:r w:rsidR="00F02A67" w:rsidRPr="004E796C">
              <w:rPr>
                <w:rFonts w:ascii="Times New Roman" w:hAnsi="Times New Roman"/>
                <w:color w:val="000000" w:themeColor="text1"/>
              </w:rPr>
              <w:t>badania wykonywane są co 2 cykle leczenia - w trakcie leczenia skojarzonego oznacza to konieczność wykonania badania co 6 tyg., natomiast w  trakcie monoterapii nintedanibem co 8 tyg. (ważność badania - 14 dni).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2.1.3. Badania obrazowe obejmują ocenę według kryteriów RECIST 1.1.: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(a) zmiany pierwotnej - badanie tomografii komputerowej (TK) klatki piersiowej z objęciem nadbrzusza (jeżeli pierwotny guz płuca nie istnieje w przypadku stanu po resekcji miąższu płuca lub rozpoznania nowotworu płuca bez ustalenia ogniska pierwotnego, to konieczne jest wykazanie w badaniach obrazowych przerzutowych zmian mierzalnych lub policzalnych zmian niemierzalnych);</w:t>
            </w:r>
          </w:p>
          <w:p w:rsidR="00FC4564" w:rsidRPr="004E796C" w:rsidRDefault="00FC456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(b) zmian przerzutowych – badanie TK lub inne badania obrazowe (np. ultrasonografia – USG, magnetyczny rezonans - MR, scyntygrafia kości i inne), przy czym badania obrazowe podczas leczenia powinny obejmować ocenę zmian stwierdzonych przed rozpoczęciem leczenia.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E796C">
              <w:rPr>
                <w:rFonts w:ascii="Times New Roman" w:hAnsi="Times New Roman"/>
                <w:b/>
                <w:color w:val="000000" w:themeColor="text1"/>
              </w:rPr>
              <w:t>3. Kryteria wyłączenia z programu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3.1. wystąpienie progresji choroby – potwierdzonej w badaniu przedmiotowym lub/i obrazowym – ocenionej według kryteriów skali RECIST 1.1.:</w:t>
            </w:r>
          </w:p>
          <w:p w:rsidR="00967101" w:rsidRPr="004E796C" w:rsidRDefault="00967101" w:rsidP="004E796C">
            <w:pPr>
              <w:spacing w:line="276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 xml:space="preserve">a) powiększenie się istniejących zmian o przynajmniej 20% </w:t>
            </w:r>
          </w:p>
          <w:p w:rsidR="00967101" w:rsidRPr="004E796C" w:rsidRDefault="00967101" w:rsidP="004E796C">
            <w:pPr>
              <w:spacing w:line="276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lub</w:t>
            </w:r>
          </w:p>
          <w:p w:rsidR="00967101" w:rsidRPr="004E796C" w:rsidRDefault="00967101" w:rsidP="004E796C">
            <w:pPr>
              <w:spacing w:line="276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b) pojawienie się przynajmniej jednej nowej zmiany</w:t>
            </w:r>
            <w:r w:rsidR="00965535" w:rsidRPr="004E796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3.2. pogorszenie – istotne klinicznie – stanu chorego w związku z nowotworem bez progresji potwierdzonej w badaniu przedmiotowym lub obrazowym;</w:t>
            </w:r>
          </w:p>
          <w:p w:rsidR="00967101" w:rsidRPr="004E796C" w:rsidRDefault="00967101" w:rsidP="004E796C">
            <w:pPr>
              <w:pStyle w:val="Zwykyteks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3.3. wystąpienie klinicznie istotnej toksyczności leczenia lub wystąpienie przynajmniej jednego działania niepożądanego będącego zagrożeniem życia według kryteriów klasyfikacji CTC-AE w wersji 4.03. (ang. </w:t>
            </w:r>
            <w:r w:rsidRPr="004E796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terminology criteria for adverse events</w:t>
            </w:r>
            <w:r w:rsidRPr="004E7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version 4.03.);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3.4. wystąpienie nawracającej lub nieakceptowalnej toksyczności leczenia w stopniu 3. lub 4. według kryteriów klasyfikacji CTC-AE w wersji 4.03. (wznowienie leczenia możliwe po ustąpieniu objawów toksyczności lub zmniejszeniu nasilenia do stopnia 1. lub 2. według kryteriów klasyfikacji CTC-AE w wersji 4.03.);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3.5. wystąpienie nadwrażliwość na lek lub na substancję pomocniczą;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3.</w:t>
            </w:r>
            <w:r w:rsidR="00965535" w:rsidRPr="004E796C">
              <w:rPr>
                <w:rFonts w:ascii="Times New Roman" w:hAnsi="Times New Roman"/>
                <w:color w:val="000000" w:themeColor="text1"/>
              </w:rPr>
              <w:t>6</w:t>
            </w:r>
            <w:r w:rsidRPr="004E796C">
              <w:rPr>
                <w:rFonts w:ascii="Times New Roman" w:hAnsi="Times New Roman"/>
                <w:color w:val="000000" w:themeColor="text1"/>
              </w:rPr>
              <w:t>. obniżenie sprawności do stopnia 3-4 według kryteriów WHO lub ECOG;</w:t>
            </w:r>
          </w:p>
          <w:p w:rsidR="00967101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</w:t>
            </w:r>
            <w:r w:rsidR="00147595" w:rsidRPr="004E796C">
              <w:rPr>
                <w:rFonts w:ascii="Times New Roman" w:hAnsi="Times New Roman"/>
                <w:color w:val="000000" w:themeColor="text1"/>
              </w:rPr>
              <w:t>.</w:t>
            </w:r>
            <w:r w:rsidR="00965535" w:rsidRPr="004E796C">
              <w:rPr>
                <w:rFonts w:ascii="Times New Roman" w:hAnsi="Times New Roman"/>
                <w:color w:val="000000" w:themeColor="text1"/>
              </w:rPr>
              <w:t>7</w:t>
            </w:r>
            <w:r w:rsidRPr="004E796C">
              <w:rPr>
                <w:rFonts w:ascii="Times New Roman" w:hAnsi="Times New Roman"/>
                <w:color w:val="000000" w:themeColor="text1"/>
              </w:rPr>
              <w:t>. pogorszenie jakości życia o istotnym znaczeniu według oceny lekarza;</w:t>
            </w:r>
          </w:p>
          <w:p w:rsidR="007F5E48" w:rsidRPr="004E796C" w:rsidRDefault="00967101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</w:t>
            </w:r>
            <w:r w:rsidR="00147595" w:rsidRPr="004E796C">
              <w:rPr>
                <w:rFonts w:ascii="Times New Roman" w:hAnsi="Times New Roman"/>
                <w:color w:val="000000" w:themeColor="text1"/>
              </w:rPr>
              <w:t>.</w:t>
            </w:r>
            <w:r w:rsidR="00965535" w:rsidRPr="004E796C">
              <w:rPr>
                <w:rFonts w:ascii="Times New Roman" w:hAnsi="Times New Roman"/>
                <w:color w:val="000000" w:themeColor="text1"/>
              </w:rPr>
              <w:t>8</w:t>
            </w:r>
            <w:r w:rsidR="00C650D5" w:rsidRPr="004E796C">
              <w:rPr>
                <w:rFonts w:ascii="Times New Roman" w:hAnsi="Times New Roman"/>
                <w:color w:val="000000" w:themeColor="text1"/>
              </w:rPr>
              <w:t>.</w:t>
            </w:r>
            <w:r w:rsidRPr="004E796C">
              <w:rPr>
                <w:rFonts w:ascii="Times New Roman" w:hAnsi="Times New Roman"/>
                <w:color w:val="000000" w:themeColor="text1"/>
              </w:rPr>
              <w:t xml:space="preserve"> wycofanie zgody na udział w programie (rezygnacja chorego).</w:t>
            </w:r>
          </w:p>
        </w:tc>
        <w:tc>
          <w:tcPr>
            <w:tcW w:w="4253" w:type="dxa"/>
          </w:tcPr>
          <w:p w:rsidR="00FC4564" w:rsidRPr="004E796C" w:rsidRDefault="00FC4564" w:rsidP="004E796C">
            <w:pPr>
              <w:spacing w:before="120"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 xml:space="preserve">Dawkowanie leków w programie i modyfikowanie leczenia powinno być zgodne z Charakterystyką Produktu Leczniczego. </w:t>
            </w:r>
          </w:p>
          <w:p w:rsidR="00104A9A" w:rsidRPr="004E796C" w:rsidRDefault="00104A9A" w:rsidP="004E796C">
            <w:pPr>
              <w:pStyle w:val="Default"/>
              <w:spacing w:line="276" w:lineRule="auto"/>
              <w:ind w:left="26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06DC3" w:rsidRPr="004E796C" w:rsidRDefault="00206DC3" w:rsidP="004E796C">
            <w:pPr>
              <w:pStyle w:val="Nagwek2"/>
            </w:pPr>
            <w:r w:rsidRPr="004E796C">
              <w:t>1. Badania przy kwalifikacji do leczenia. Nintedanib w drugiej linii leczenia.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  <w:rPr>
                <w:color w:val="000000" w:themeColor="text1"/>
              </w:rPr>
            </w:pPr>
            <w:r w:rsidRPr="004E796C">
              <w:rPr>
                <w:color w:val="000000" w:themeColor="text1"/>
              </w:rPr>
              <w:t>histologiczne lub cytologiczne potwierdzenie określonego typu niedrobnokomórkowego raka płuca zgodnie z kryteriami włączenia;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morfologia krwi z rozmazem;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oznaczenia stężenia kreatyniny;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oznaczenie stężenia bilirubiny;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oznaczenie aktywności aminotransferazy alaninowej;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oznaczenie aktywności aminotransferazy asparaginianowej;</w:t>
            </w:r>
          </w:p>
          <w:p w:rsidR="00DF7D01" w:rsidRPr="004E796C" w:rsidRDefault="00206DC3" w:rsidP="004E796C">
            <w:pPr>
              <w:pStyle w:val="Akapitzlist"/>
              <w:spacing w:line="276" w:lineRule="auto"/>
            </w:pPr>
            <w:r w:rsidRPr="004E796C">
              <w:t>oznaczenie aktywności fosfatazy zasadowej;</w:t>
            </w:r>
          </w:p>
          <w:p w:rsidR="00E94CB8" w:rsidRPr="004E796C" w:rsidRDefault="00E94CB8" w:rsidP="004E796C">
            <w:pPr>
              <w:pStyle w:val="Akapitzlist"/>
              <w:spacing w:line="276" w:lineRule="auto"/>
            </w:pPr>
            <w:r w:rsidRPr="004E796C">
              <w:t>badanie ogólne moczu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test ciążowy u kobiet w wieku rozrodczym;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badanie tomografii komputerowej klatki piersiowej z objęciem nadbrzusza lub  klasyczne badanie RTG klatki piersiowej w przypadku zmiany dobrze mierzalnej, otoczonej przez prawidłowo upowietrzniony miąższ płucny;</w:t>
            </w:r>
          </w:p>
          <w:p w:rsidR="00206DC3" w:rsidRPr="004E796C" w:rsidRDefault="00206DC3" w:rsidP="004E796C">
            <w:pPr>
              <w:pStyle w:val="Akapitzlist"/>
              <w:spacing w:line="276" w:lineRule="auto"/>
            </w:pPr>
            <w:r w:rsidRPr="004E796C">
              <w:t>badanie tomografii komputerowej innej lokalizacji lub inne badania obrazowe (rezonans magnetyczny - MR, scyntygrafia) w zależności od sytuacji klinicznej.</w:t>
            </w:r>
          </w:p>
          <w:p w:rsidR="00206DC3" w:rsidRPr="004E796C" w:rsidRDefault="00206DC3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F025C4" w:rsidRPr="004E796C" w:rsidRDefault="00F025C4" w:rsidP="004E796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b/>
                <w:color w:val="000000" w:themeColor="text1"/>
              </w:rPr>
              <w:t>2. Monitorowanie leczenia. Nintedanib w drugiej linii leczenia</w:t>
            </w:r>
            <w:r w:rsidR="00C650D5" w:rsidRPr="004E796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1) badanie tomografii komputerowej klatki piersiowej z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objęciem nadbrzusza lub klasyczne badanie RTG klatki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piersiowej w przypadku zmiany dobrze mierzalnej, otoczonej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przez prawidłowo upowietrzniony miąższ płucny w zależności od metody obrazowania zastosowanej przy kwalifikacji chorego do leczenia;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2) badanie tomografii komputerowej innej lokalizacji lub inne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badania obrazowe (ultrasonografia - USG, rezonans</w:t>
            </w:r>
          </w:p>
          <w:p w:rsidR="00F025C4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magnetyczny - MR, scyntygrafia) w zależności od sytuacji</w:t>
            </w:r>
          </w:p>
          <w:p w:rsidR="00DF7D01" w:rsidRPr="004E796C" w:rsidRDefault="00F025C4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klinicznej.</w:t>
            </w:r>
          </w:p>
          <w:p w:rsidR="00F02A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3) badanie ogólne moczu</w:t>
            </w:r>
          </w:p>
          <w:p w:rsidR="00F02A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 xml:space="preserve">4) badanie czynności wątroby (aktywność aminotransferaz  i stężenie bilirubiny) </w:t>
            </w:r>
          </w:p>
          <w:p w:rsidR="00F02A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F02A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Badania wykonywane są co 2 cykle leczenia - w trakcie leczenia skojarzonego oznacza to konieczność wykonania badania co 6 tyg., natomiast w  trakcie monoterapii nintedanibem co 8 tyg. (ważność badania - 14 dni).</w:t>
            </w:r>
          </w:p>
          <w:p w:rsidR="00F02A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F02A67" w:rsidRPr="004E796C" w:rsidRDefault="00F02A67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W monitorowaniu bezpieczeństwa leczenia skojarzonego docetakselem i nintedanibem należy uwzględnić inne parametry laboratoryjne - zgodnie z Charakterystyką Produktu Leczniczego docetaksel.</w:t>
            </w:r>
          </w:p>
          <w:p w:rsidR="00D405FC" w:rsidRPr="004E796C" w:rsidRDefault="00D405FC" w:rsidP="004E796C">
            <w:pPr>
              <w:pStyle w:val="Nagwek1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79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Monitorowanie programu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1) gromadzenie w dokumentacji medycznej pacjenta danych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dotyczących monitorowania leczenia i każdorazowe ich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przedstawianie na żądanie kontrolerów Narodowego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Funduszu Zdrowia;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2) uzupełnienie danych zawartych w rejestrze (SMPT)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dostępnym za pomocą aplikacji internetowej udostępnionej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przez OW NFZ, z częstotliwością zgodną z opisem programu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oraz na zakończenie leczenia;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3) przekazywanie informacji sprawozdawczo-rozliczeniowych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do NFZ: informacje przekazuje się do NFZ w formie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papierowej lub w formie elektronicznej, zgodnie z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wymaganiami opublikowanymi przez Narodowy Fundusz</w:t>
            </w:r>
          </w:p>
          <w:p w:rsidR="00D405FC" w:rsidRPr="004E796C" w:rsidRDefault="00D405FC" w:rsidP="004E796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E796C">
              <w:rPr>
                <w:rFonts w:ascii="Times New Roman" w:hAnsi="Times New Roman"/>
                <w:color w:val="000000" w:themeColor="text1"/>
              </w:rPr>
              <w:t>Zdrowia.</w:t>
            </w:r>
          </w:p>
        </w:tc>
      </w:tr>
    </w:tbl>
    <w:p w:rsidR="001A3CC7" w:rsidRPr="00632659" w:rsidRDefault="001A3CC7" w:rsidP="00632659">
      <w:pPr>
        <w:spacing w:line="276" w:lineRule="auto"/>
        <w:rPr>
          <w:rFonts w:ascii="Times New Roman" w:hAnsi="Times New Roman"/>
        </w:rPr>
      </w:pPr>
    </w:p>
    <w:sectPr w:rsidR="001A3CC7" w:rsidRPr="00632659" w:rsidSect="00632659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83" w:rsidRDefault="000B6183" w:rsidP="00953566">
      <w:r>
        <w:separator/>
      </w:r>
    </w:p>
  </w:endnote>
  <w:endnote w:type="continuationSeparator" w:id="0">
    <w:p w:rsidR="000B6183" w:rsidRDefault="000B6183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83" w:rsidRDefault="000B6183" w:rsidP="00953566">
      <w:r>
        <w:separator/>
      </w:r>
    </w:p>
  </w:footnote>
  <w:footnote w:type="continuationSeparator" w:id="0">
    <w:p w:rsidR="000B6183" w:rsidRDefault="000B6183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96"/>
    <w:multiLevelType w:val="hybridMultilevel"/>
    <w:tmpl w:val="259C4734"/>
    <w:lvl w:ilvl="0" w:tplc="AC92E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173"/>
    <w:multiLevelType w:val="hybridMultilevel"/>
    <w:tmpl w:val="1736F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CF4"/>
    <w:multiLevelType w:val="hybridMultilevel"/>
    <w:tmpl w:val="783AAC50"/>
    <w:lvl w:ilvl="0" w:tplc="04150017">
      <w:start w:val="1"/>
      <w:numFmt w:val="lowerLetter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10C46D1D"/>
    <w:multiLevelType w:val="hybridMultilevel"/>
    <w:tmpl w:val="9F6A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08F"/>
    <w:multiLevelType w:val="hybridMultilevel"/>
    <w:tmpl w:val="A49C9506"/>
    <w:lvl w:ilvl="0" w:tplc="241CB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7D3"/>
    <w:multiLevelType w:val="hybridMultilevel"/>
    <w:tmpl w:val="F1307864"/>
    <w:lvl w:ilvl="0" w:tplc="ACDC15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7D83"/>
    <w:multiLevelType w:val="hybridMultilevel"/>
    <w:tmpl w:val="EF5AD76C"/>
    <w:lvl w:ilvl="0" w:tplc="DA4056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E5F48"/>
    <w:multiLevelType w:val="multilevel"/>
    <w:tmpl w:val="EE165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04F2DAD"/>
    <w:multiLevelType w:val="hybridMultilevel"/>
    <w:tmpl w:val="285CC49E"/>
    <w:lvl w:ilvl="0" w:tplc="CF36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C25A1"/>
    <w:multiLevelType w:val="hybridMultilevel"/>
    <w:tmpl w:val="5FEC4E2E"/>
    <w:lvl w:ilvl="0" w:tplc="E9ECBAC6">
      <w:start w:val="1"/>
      <w:numFmt w:val="decimal"/>
      <w:pStyle w:val="Akapitzlist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72A50"/>
    <w:multiLevelType w:val="hybridMultilevel"/>
    <w:tmpl w:val="AB3E0308"/>
    <w:lvl w:ilvl="0" w:tplc="643827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219C"/>
    <w:multiLevelType w:val="hybridMultilevel"/>
    <w:tmpl w:val="0722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E2A32"/>
    <w:multiLevelType w:val="hybridMultilevel"/>
    <w:tmpl w:val="BA06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73F9"/>
    <w:multiLevelType w:val="hybridMultilevel"/>
    <w:tmpl w:val="D7DEEB1A"/>
    <w:lvl w:ilvl="0" w:tplc="2C123D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585E"/>
    <w:multiLevelType w:val="hybridMultilevel"/>
    <w:tmpl w:val="BF000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00C"/>
    <w:multiLevelType w:val="hybridMultilevel"/>
    <w:tmpl w:val="B8D67D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95F27"/>
    <w:multiLevelType w:val="hybridMultilevel"/>
    <w:tmpl w:val="4990A820"/>
    <w:lvl w:ilvl="0" w:tplc="61CE8456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3EF563C"/>
    <w:multiLevelType w:val="hybridMultilevel"/>
    <w:tmpl w:val="6E040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2"/>
    <w:multiLevelType w:val="hybridMultilevel"/>
    <w:tmpl w:val="285CC49E"/>
    <w:lvl w:ilvl="0" w:tplc="CF36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2"/>
    <w:rsid w:val="00010809"/>
    <w:rsid w:val="00013893"/>
    <w:rsid w:val="0002582B"/>
    <w:rsid w:val="0003182C"/>
    <w:rsid w:val="000377FE"/>
    <w:rsid w:val="00037FC3"/>
    <w:rsid w:val="00042979"/>
    <w:rsid w:val="000511CB"/>
    <w:rsid w:val="000515AB"/>
    <w:rsid w:val="00056B3C"/>
    <w:rsid w:val="0006215F"/>
    <w:rsid w:val="0006521E"/>
    <w:rsid w:val="00075C2F"/>
    <w:rsid w:val="00082D4B"/>
    <w:rsid w:val="00096415"/>
    <w:rsid w:val="000A6495"/>
    <w:rsid w:val="000B6183"/>
    <w:rsid w:val="000B6F4B"/>
    <w:rsid w:val="000C6A08"/>
    <w:rsid w:val="000D5C67"/>
    <w:rsid w:val="000D61D1"/>
    <w:rsid w:val="000E238C"/>
    <w:rsid w:val="000F6156"/>
    <w:rsid w:val="00100D93"/>
    <w:rsid w:val="00104A9A"/>
    <w:rsid w:val="00106C25"/>
    <w:rsid w:val="00113464"/>
    <w:rsid w:val="00114F9D"/>
    <w:rsid w:val="00125879"/>
    <w:rsid w:val="00126661"/>
    <w:rsid w:val="00130C2C"/>
    <w:rsid w:val="00131602"/>
    <w:rsid w:val="00132BC5"/>
    <w:rsid w:val="001379FC"/>
    <w:rsid w:val="00141859"/>
    <w:rsid w:val="00147595"/>
    <w:rsid w:val="00155415"/>
    <w:rsid w:val="0015773A"/>
    <w:rsid w:val="001641EA"/>
    <w:rsid w:val="001641F3"/>
    <w:rsid w:val="00182891"/>
    <w:rsid w:val="00186E8F"/>
    <w:rsid w:val="00190F6C"/>
    <w:rsid w:val="00193C32"/>
    <w:rsid w:val="001A3CC7"/>
    <w:rsid w:val="001C7EE2"/>
    <w:rsid w:val="001D3F04"/>
    <w:rsid w:val="001D50BF"/>
    <w:rsid w:val="001E180B"/>
    <w:rsid w:val="001F0807"/>
    <w:rsid w:val="001F3608"/>
    <w:rsid w:val="001F7EA3"/>
    <w:rsid w:val="00200BF1"/>
    <w:rsid w:val="00200D8F"/>
    <w:rsid w:val="00206AB3"/>
    <w:rsid w:val="00206DC3"/>
    <w:rsid w:val="00211C23"/>
    <w:rsid w:val="00215F0D"/>
    <w:rsid w:val="00220BD9"/>
    <w:rsid w:val="00222FCE"/>
    <w:rsid w:val="0023403D"/>
    <w:rsid w:val="00236DA0"/>
    <w:rsid w:val="00241690"/>
    <w:rsid w:val="002710BA"/>
    <w:rsid w:val="00271C77"/>
    <w:rsid w:val="00276B02"/>
    <w:rsid w:val="00284FA9"/>
    <w:rsid w:val="002877A2"/>
    <w:rsid w:val="002A0119"/>
    <w:rsid w:val="002A0B08"/>
    <w:rsid w:val="002B0535"/>
    <w:rsid w:val="002B6C98"/>
    <w:rsid w:val="002B6F4F"/>
    <w:rsid w:val="002C4849"/>
    <w:rsid w:val="002D3B75"/>
    <w:rsid w:val="002E30AD"/>
    <w:rsid w:val="002E7C34"/>
    <w:rsid w:val="002F4EF1"/>
    <w:rsid w:val="00312B12"/>
    <w:rsid w:val="00320159"/>
    <w:rsid w:val="00322E47"/>
    <w:rsid w:val="00335636"/>
    <w:rsid w:val="0034160E"/>
    <w:rsid w:val="00343701"/>
    <w:rsid w:val="0034631E"/>
    <w:rsid w:val="0035323A"/>
    <w:rsid w:val="00354318"/>
    <w:rsid w:val="003631ED"/>
    <w:rsid w:val="00364EA3"/>
    <w:rsid w:val="00370E1C"/>
    <w:rsid w:val="003836EC"/>
    <w:rsid w:val="00384CE9"/>
    <w:rsid w:val="00394F24"/>
    <w:rsid w:val="003B074A"/>
    <w:rsid w:val="003B2B46"/>
    <w:rsid w:val="003B4F6D"/>
    <w:rsid w:val="003B7D04"/>
    <w:rsid w:val="003C32E4"/>
    <w:rsid w:val="003C6A35"/>
    <w:rsid w:val="003D7281"/>
    <w:rsid w:val="00400FEA"/>
    <w:rsid w:val="004020D9"/>
    <w:rsid w:val="00407688"/>
    <w:rsid w:val="00442940"/>
    <w:rsid w:val="00453005"/>
    <w:rsid w:val="00453DB6"/>
    <w:rsid w:val="00463FFD"/>
    <w:rsid w:val="00490CA4"/>
    <w:rsid w:val="004A0C6C"/>
    <w:rsid w:val="004A657D"/>
    <w:rsid w:val="004B167A"/>
    <w:rsid w:val="004B1A3E"/>
    <w:rsid w:val="004B34CA"/>
    <w:rsid w:val="004D49F8"/>
    <w:rsid w:val="004D62E2"/>
    <w:rsid w:val="004E796C"/>
    <w:rsid w:val="00530DE6"/>
    <w:rsid w:val="005320D7"/>
    <w:rsid w:val="0054074A"/>
    <w:rsid w:val="005479B0"/>
    <w:rsid w:val="005530A8"/>
    <w:rsid w:val="00557AD0"/>
    <w:rsid w:val="00560313"/>
    <w:rsid w:val="00570EEB"/>
    <w:rsid w:val="00573B1C"/>
    <w:rsid w:val="0059163C"/>
    <w:rsid w:val="005970B7"/>
    <w:rsid w:val="005B086C"/>
    <w:rsid w:val="005B0C2C"/>
    <w:rsid w:val="005B2D28"/>
    <w:rsid w:val="005C3434"/>
    <w:rsid w:val="005C5368"/>
    <w:rsid w:val="005C6B24"/>
    <w:rsid w:val="005C6C0D"/>
    <w:rsid w:val="005D0BF1"/>
    <w:rsid w:val="005D3BD8"/>
    <w:rsid w:val="005E03BD"/>
    <w:rsid w:val="005E5779"/>
    <w:rsid w:val="005F126A"/>
    <w:rsid w:val="00603017"/>
    <w:rsid w:val="00613E6D"/>
    <w:rsid w:val="00632659"/>
    <w:rsid w:val="0063519C"/>
    <w:rsid w:val="00644EBB"/>
    <w:rsid w:val="00645E51"/>
    <w:rsid w:val="0065157B"/>
    <w:rsid w:val="00651BA0"/>
    <w:rsid w:val="00690594"/>
    <w:rsid w:val="006A5E58"/>
    <w:rsid w:val="006B348A"/>
    <w:rsid w:val="006B5D98"/>
    <w:rsid w:val="006C5034"/>
    <w:rsid w:val="006D2591"/>
    <w:rsid w:val="006E14F4"/>
    <w:rsid w:val="006E40FC"/>
    <w:rsid w:val="006E6BE9"/>
    <w:rsid w:val="006F327A"/>
    <w:rsid w:val="006F74F5"/>
    <w:rsid w:val="007002D3"/>
    <w:rsid w:val="00722543"/>
    <w:rsid w:val="007234A3"/>
    <w:rsid w:val="00731DF6"/>
    <w:rsid w:val="00734DAF"/>
    <w:rsid w:val="00736A24"/>
    <w:rsid w:val="00737501"/>
    <w:rsid w:val="0075103C"/>
    <w:rsid w:val="007657AC"/>
    <w:rsid w:val="007661F1"/>
    <w:rsid w:val="0077125C"/>
    <w:rsid w:val="00782075"/>
    <w:rsid w:val="00790C82"/>
    <w:rsid w:val="007A0DEC"/>
    <w:rsid w:val="007A4245"/>
    <w:rsid w:val="007B069E"/>
    <w:rsid w:val="007B6B33"/>
    <w:rsid w:val="007D0062"/>
    <w:rsid w:val="007E4098"/>
    <w:rsid w:val="007F295C"/>
    <w:rsid w:val="007F5E48"/>
    <w:rsid w:val="00830AD3"/>
    <w:rsid w:val="00832A07"/>
    <w:rsid w:val="00841D5B"/>
    <w:rsid w:val="008423B5"/>
    <w:rsid w:val="0085753F"/>
    <w:rsid w:val="008646D5"/>
    <w:rsid w:val="008849F2"/>
    <w:rsid w:val="00887E14"/>
    <w:rsid w:val="00894ECA"/>
    <w:rsid w:val="008A6B19"/>
    <w:rsid w:val="008B5118"/>
    <w:rsid w:val="008C7EC3"/>
    <w:rsid w:val="008E0CE0"/>
    <w:rsid w:val="008E34AA"/>
    <w:rsid w:val="008E42AA"/>
    <w:rsid w:val="008F794F"/>
    <w:rsid w:val="009029E7"/>
    <w:rsid w:val="00922F80"/>
    <w:rsid w:val="0093256F"/>
    <w:rsid w:val="0094250D"/>
    <w:rsid w:val="00953566"/>
    <w:rsid w:val="009606FF"/>
    <w:rsid w:val="00965535"/>
    <w:rsid w:val="00967101"/>
    <w:rsid w:val="00971FA0"/>
    <w:rsid w:val="0097275A"/>
    <w:rsid w:val="009906E0"/>
    <w:rsid w:val="009964E3"/>
    <w:rsid w:val="009C0795"/>
    <w:rsid w:val="009C3CC8"/>
    <w:rsid w:val="009C78B3"/>
    <w:rsid w:val="009E1DFD"/>
    <w:rsid w:val="009F2E1D"/>
    <w:rsid w:val="009F7187"/>
    <w:rsid w:val="009F7912"/>
    <w:rsid w:val="00A000DF"/>
    <w:rsid w:val="00A04B79"/>
    <w:rsid w:val="00A1306A"/>
    <w:rsid w:val="00A203E1"/>
    <w:rsid w:val="00A60DE5"/>
    <w:rsid w:val="00A634A0"/>
    <w:rsid w:val="00A64FF9"/>
    <w:rsid w:val="00A66167"/>
    <w:rsid w:val="00A75AC4"/>
    <w:rsid w:val="00A863E0"/>
    <w:rsid w:val="00A87A16"/>
    <w:rsid w:val="00A91E8F"/>
    <w:rsid w:val="00A92903"/>
    <w:rsid w:val="00AA0407"/>
    <w:rsid w:val="00AA35DA"/>
    <w:rsid w:val="00AA47FE"/>
    <w:rsid w:val="00AB01BB"/>
    <w:rsid w:val="00AC257B"/>
    <w:rsid w:val="00AC7AC9"/>
    <w:rsid w:val="00AD15F1"/>
    <w:rsid w:val="00AD2D2D"/>
    <w:rsid w:val="00B03AFE"/>
    <w:rsid w:val="00B04086"/>
    <w:rsid w:val="00B16E68"/>
    <w:rsid w:val="00B249BF"/>
    <w:rsid w:val="00B24DD4"/>
    <w:rsid w:val="00B27316"/>
    <w:rsid w:val="00B3002C"/>
    <w:rsid w:val="00B3081B"/>
    <w:rsid w:val="00B44E4E"/>
    <w:rsid w:val="00B46478"/>
    <w:rsid w:val="00B53F89"/>
    <w:rsid w:val="00B639F8"/>
    <w:rsid w:val="00B7244F"/>
    <w:rsid w:val="00B76ED0"/>
    <w:rsid w:val="00B837BD"/>
    <w:rsid w:val="00B873EA"/>
    <w:rsid w:val="00B90F8E"/>
    <w:rsid w:val="00B92610"/>
    <w:rsid w:val="00B95801"/>
    <w:rsid w:val="00BA43C6"/>
    <w:rsid w:val="00BA463D"/>
    <w:rsid w:val="00BC1E14"/>
    <w:rsid w:val="00BC3121"/>
    <w:rsid w:val="00BD01B0"/>
    <w:rsid w:val="00BD33DA"/>
    <w:rsid w:val="00BD469A"/>
    <w:rsid w:val="00BE2768"/>
    <w:rsid w:val="00BE2921"/>
    <w:rsid w:val="00BE38C1"/>
    <w:rsid w:val="00BF3C1E"/>
    <w:rsid w:val="00C01A08"/>
    <w:rsid w:val="00C02848"/>
    <w:rsid w:val="00C065C5"/>
    <w:rsid w:val="00C06D93"/>
    <w:rsid w:val="00C275E3"/>
    <w:rsid w:val="00C31C68"/>
    <w:rsid w:val="00C4276C"/>
    <w:rsid w:val="00C45AAD"/>
    <w:rsid w:val="00C57461"/>
    <w:rsid w:val="00C612A4"/>
    <w:rsid w:val="00C64AF7"/>
    <w:rsid w:val="00C64B04"/>
    <w:rsid w:val="00C65080"/>
    <w:rsid w:val="00C650D5"/>
    <w:rsid w:val="00C67EFB"/>
    <w:rsid w:val="00C71316"/>
    <w:rsid w:val="00CB2B24"/>
    <w:rsid w:val="00CC5754"/>
    <w:rsid w:val="00D179F8"/>
    <w:rsid w:val="00D20DF3"/>
    <w:rsid w:val="00D24018"/>
    <w:rsid w:val="00D24240"/>
    <w:rsid w:val="00D35662"/>
    <w:rsid w:val="00D405FC"/>
    <w:rsid w:val="00D45C5A"/>
    <w:rsid w:val="00D71884"/>
    <w:rsid w:val="00D83E46"/>
    <w:rsid w:val="00D856F7"/>
    <w:rsid w:val="00D971A9"/>
    <w:rsid w:val="00DA6ECE"/>
    <w:rsid w:val="00DB05D6"/>
    <w:rsid w:val="00DB17A2"/>
    <w:rsid w:val="00DB1B13"/>
    <w:rsid w:val="00DB439E"/>
    <w:rsid w:val="00DB5576"/>
    <w:rsid w:val="00DB7F80"/>
    <w:rsid w:val="00DD41F3"/>
    <w:rsid w:val="00DE20D6"/>
    <w:rsid w:val="00DF7D01"/>
    <w:rsid w:val="00E013A6"/>
    <w:rsid w:val="00E02D17"/>
    <w:rsid w:val="00E04327"/>
    <w:rsid w:val="00E2666D"/>
    <w:rsid w:val="00E26B82"/>
    <w:rsid w:val="00E26E13"/>
    <w:rsid w:val="00E32F43"/>
    <w:rsid w:val="00E3454D"/>
    <w:rsid w:val="00E34DE8"/>
    <w:rsid w:val="00E5184B"/>
    <w:rsid w:val="00E54EA8"/>
    <w:rsid w:val="00E57618"/>
    <w:rsid w:val="00E605A3"/>
    <w:rsid w:val="00E60F02"/>
    <w:rsid w:val="00E738AC"/>
    <w:rsid w:val="00E75159"/>
    <w:rsid w:val="00E75DA9"/>
    <w:rsid w:val="00E7636A"/>
    <w:rsid w:val="00E77E71"/>
    <w:rsid w:val="00E81DB8"/>
    <w:rsid w:val="00E91455"/>
    <w:rsid w:val="00E94CB8"/>
    <w:rsid w:val="00EA082C"/>
    <w:rsid w:val="00EA2A46"/>
    <w:rsid w:val="00EC504C"/>
    <w:rsid w:val="00ED1603"/>
    <w:rsid w:val="00ED16AE"/>
    <w:rsid w:val="00ED5F1C"/>
    <w:rsid w:val="00EE0ED9"/>
    <w:rsid w:val="00EE1F20"/>
    <w:rsid w:val="00F00179"/>
    <w:rsid w:val="00F025C4"/>
    <w:rsid w:val="00F02A67"/>
    <w:rsid w:val="00F03156"/>
    <w:rsid w:val="00F20786"/>
    <w:rsid w:val="00F44A2C"/>
    <w:rsid w:val="00F47015"/>
    <w:rsid w:val="00F55483"/>
    <w:rsid w:val="00F61B6F"/>
    <w:rsid w:val="00F6347E"/>
    <w:rsid w:val="00FA0A9F"/>
    <w:rsid w:val="00FA1E38"/>
    <w:rsid w:val="00FC07C7"/>
    <w:rsid w:val="00FC4564"/>
    <w:rsid w:val="00FC7326"/>
    <w:rsid w:val="00FD0BB4"/>
    <w:rsid w:val="00FD3DE4"/>
    <w:rsid w:val="00FE2FEB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DFCE59D-A055-4CD4-A84F-F34D6A5D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nhideWhenUsed/>
    <w:qFormat/>
    <w:rsid w:val="00206DC3"/>
    <w:pPr>
      <w:keepNext w:val="0"/>
      <w:keepLines w:val="0"/>
      <w:widowControl/>
      <w:spacing w:before="120" w:line="276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uiPriority w:val="99"/>
    <w:semiHidden/>
    <w:unhideWhenUsed/>
    <w:rsid w:val="0034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0E"/>
  </w:style>
  <w:style w:type="character" w:customStyle="1" w:styleId="TekstkomentarzaZnak">
    <w:name w:val="Tekst komentarza Znak"/>
    <w:link w:val="Tekstkomentarza"/>
    <w:uiPriority w:val="99"/>
    <w:semiHidden/>
    <w:rsid w:val="0034160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160E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0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031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60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313"/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unhideWhenUsed/>
    <w:rsid w:val="00967101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710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rsid w:val="00206DC3"/>
    <w:rPr>
      <w:b/>
      <w:bCs/>
      <w:color w:val="000000" w:themeColor="text1"/>
    </w:rPr>
  </w:style>
  <w:style w:type="paragraph" w:styleId="Akapitzlist">
    <w:name w:val="List Paragraph"/>
    <w:basedOn w:val="Normalny"/>
    <w:link w:val="AkapitzlistZnak"/>
    <w:uiPriority w:val="34"/>
    <w:qFormat/>
    <w:rsid w:val="00206DC3"/>
    <w:pPr>
      <w:widowControl/>
      <w:numPr>
        <w:numId w:val="21"/>
      </w:numPr>
    </w:pPr>
    <w:rPr>
      <w:rFonts w:ascii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06DC3"/>
  </w:style>
  <w:style w:type="character" w:customStyle="1" w:styleId="Nagwek1Znak">
    <w:name w:val="Nagłówek 1 Znak"/>
    <w:basedOn w:val="Domylnaczcionkaakapitu"/>
    <w:link w:val="Nagwek1"/>
    <w:uiPriority w:val="9"/>
    <w:rsid w:val="00206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72E3-E831-44EC-84C5-AE62DEE8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Szulczyk,Dr.,Daniel (HP Com MA) BIM-PL-W</dc:creator>
  <cp:lastModifiedBy>Królak-Buzakowska Joanna</cp:lastModifiedBy>
  <cp:revision>4</cp:revision>
  <cp:lastPrinted>2018-07-26T09:42:00Z</cp:lastPrinted>
  <dcterms:created xsi:type="dcterms:W3CDTF">2018-10-11T09:11:00Z</dcterms:created>
  <dcterms:modified xsi:type="dcterms:W3CDTF">2018-10-11T10:50:00Z</dcterms:modified>
</cp:coreProperties>
</file>