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BAFB25" w14:textId="77777777" w:rsidR="00BE5A22" w:rsidRPr="00BE5A22" w:rsidRDefault="00BE5A22" w:rsidP="00BE5A22">
      <w:pPr>
        <w:pStyle w:val="Nagwek"/>
        <w:rPr>
          <w:sz w:val="22"/>
          <w:szCs w:val="22"/>
        </w:rPr>
      </w:pPr>
      <w:bookmarkStart w:id="0" w:name="_GoBack"/>
      <w:bookmarkEnd w:id="0"/>
      <w:r w:rsidRPr="00BE5A22">
        <w:rPr>
          <w:sz w:val="22"/>
          <w:szCs w:val="22"/>
        </w:rPr>
        <w:t xml:space="preserve">Załącznik B.71. </w:t>
      </w:r>
    </w:p>
    <w:p w14:paraId="6841AA75" w14:textId="77777777" w:rsidR="00BE5A22" w:rsidRPr="00BE5A22" w:rsidRDefault="00BE5A22" w:rsidP="00BE5A22">
      <w:pPr>
        <w:pStyle w:val="Style2"/>
        <w:widowControl/>
        <w:spacing w:line="240" w:lineRule="auto"/>
        <w:rPr>
          <w:rStyle w:val="FontStyle19"/>
          <w:sz w:val="22"/>
          <w:szCs w:val="22"/>
        </w:rPr>
      </w:pPr>
    </w:p>
    <w:p w14:paraId="3A35398C" w14:textId="77777777" w:rsidR="004226D9" w:rsidRPr="00BE5A22" w:rsidRDefault="00C52F67" w:rsidP="00BE5A22">
      <w:pPr>
        <w:pStyle w:val="Style2"/>
        <w:widowControl/>
        <w:spacing w:after="240" w:line="240" w:lineRule="auto"/>
        <w:rPr>
          <w:rStyle w:val="FontStyle20"/>
          <w:sz w:val="28"/>
          <w:szCs w:val="28"/>
        </w:rPr>
      </w:pPr>
      <w:r w:rsidRPr="00BE5A22">
        <w:rPr>
          <w:rStyle w:val="FontStyle19"/>
          <w:sz w:val="28"/>
          <w:szCs w:val="28"/>
        </w:rPr>
        <w:t>LECZENIE PRZEWLEKŁEGO WIRUSOWEGO ZAPALENIA WĄTROBY TYPU C TERAPIĄ BEZINTERFERONOWĄ (ICD-10 B 18</w:t>
      </w:r>
      <w:r w:rsidRPr="00BE5A22">
        <w:rPr>
          <w:rStyle w:val="FontStyle20"/>
          <w:sz w:val="28"/>
          <w:szCs w:val="28"/>
        </w:rPr>
        <w:t>.2)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7"/>
        <w:gridCol w:w="5104"/>
        <w:gridCol w:w="4901"/>
      </w:tblGrid>
      <w:tr w:rsidR="004226D9" w:rsidRPr="00717EF9" w14:paraId="02E21D08" w14:textId="77777777" w:rsidTr="005C7F87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910B" w14:textId="77777777" w:rsidR="004226D9" w:rsidRPr="00717EF9" w:rsidRDefault="004226D9" w:rsidP="00BE5A22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717EF9">
              <w:rPr>
                <w:b/>
                <w:bCs/>
                <w:sz w:val="20"/>
                <w:szCs w:val="20"/>
              </w:rPr>
              <w:t>ZAKRES ŚWIADCZENIA GWARANTOWANEGO</w:t>
            </w:r>
          </w:p>
        </w:tc>
      </w:tr>
      <w:tr w:rsidR="004226D9" w:rsidRPr="00717EF9" w14:paraId="1DA5F8DA" w14:textId="77777777" w:rsidTr="00BE5A22"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5AB4" w14:textId="77777777" w:rsidR="004226D9" w:rsidRPr="00717EF9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717EF9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477F8" w14:textId="77777777" w:rsidR="004226D9" w:rsidRPr="00717EF9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717EF9">
              <w:rPr>
                <w:b/>
                <w:bCs/>
                <w:sz w:val="20"/>
                <w:szCs w:val="20"/>
              </w:rPr>
              <w:t>SCHEMAT DAWKOWANIA LEKÓW W PROGRAMIE</w:t>
            </w: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B47FF" w14:textId="77777777" w:rsidR="004226D9" w:rsidRPr="00717EF9" w:rsidRDefault="004226D9" w:rsidP="00BB49F8">
            <w:pPr>
              <w:spacing w:line="276" w:lineRule="auto"/>
              <w:ind w:left="357" w:hanging="357"/>
              <w:jc w:val="center"/>
              <w:rPr>
                <w:sz w:val="20"/>
                <w:szCs w:val="20"/>
              </w:rPr>
            </w:pPr>
            <w:r w:rsidRPr="00717EF9">
              <w:rPr>
                <w:b/>
                <w:bCs/>
                <w:sz w:val="20"/>
                <w:szCs w:val="20"/>
              </w:rPr>
              <w:t>BADANIA DIAGNOSTYCZNE WYKONYWANE W RAMACH PROGRAMU</w:t>
            </w:r>
          </w:p>
        </w:tc>
      </w:tr>
      <w:tr w:rsidR="004226D9" w:rsidRPr="00717EF9" w14:paraId="564A6951" w14:textId="77777777" w:rsidTr="00BE5A22">
        <w:tc>
          <w:tcPr>
            <w:tcW w:w="1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764D" w14:textId="343B377E" w:rsidR="004226D9" w:rsidRPr="00717EF9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/>
                <w:sz w:val="20"/>
                <w:szCs w:val="20"/>
              </w:rPr>
              <w:t xml:space="preserve">Kryteria </w:t>
            </w:r>
            <w:r w:rsidR="000F750B" w:rsidRPr="00717EF9">
              <w:rPr>
                <w:rFonts w:ascii="Times New Roman" w:hAnsi="Times New Roman"/>
                <w:b/>
                <w:sz w:val="20"/>
                <w:szCs w:val="20"/>
              </w:rPr>
              <w:t>kwalifikacji</w:t>
            </w:r>
            <w:r w:rsidRPr="00717EF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DEF16CE" w14:textId="77777777" w:rsidR="004226D9" w:rsidRPr="00717EF9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Do programu kwalifikowani są 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>dorośli świadczeniobiorcy (ukończony 18 r. ż.)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, chorzy na przewlekłe wirusowe zapalenie wątroby typu C i spełniający łącznie poniższe kryteria:</w:t>
            </w:r>
          </w:p>
          <w:p w14:paraId="284AA479" w14:textId="77777777" w:rsidR="004226D9" w:rsidRPr="00717EF9" w:rsidRDefault="00D25BF6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obecność HCV RN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>A w surowicy krwi lub w tkance</w:t>
            </w:r>
            <w:r w:rsidR="00717EF9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>wątrobowej;</w:t>
            </w:r>
          </w:p>
          <w:p w14:paraId="53F825F8" w14:textId="71D57B00" w:rsidR="00B541CE" w:rsidRDefault="00B541CE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obecność przeciwciał anty-HCV;</w:t>
            </w:r>
          </w:p>
          <w:p w14:paraId="240AA893" w14:textId="77777777" w:rsidR="004226D9" w:rsidRPr="00717EF9" w:rsidRDefault="004226D9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stwierdzenie włóknienia wątroby określonego z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wykorzystaniem elastografii wątroby wykonanej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techniką umożliwiającą pomiar ilościowy w kPa lub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określonego z wykorzystaniem biopsji wątroby. W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przypadku podejrzenia współistnienia chorób wątroby o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innej etiologii, niezgodności wyniku badania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nieinwazyjnego ze stanem klinicznym chorego lub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rozbieżności pomiędzy wynikami różnych badań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nieinwazyjnych zalecane jest wykonanie biopsji wątroby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(o ile nie jest ona </w:t>
            </w:r>
            <w:r w:rsidR="002A7E67" w:rsidRPr="00717EF9">
              <w:rPr>
                <w:rFonts w:ascii="Times New Roman" w:hAnsi="Times New Roman"/>
                <w:sz w:val="20"/>
                <w:szCs w:val="20"/>
              </w:rPr>
              <w:t>przeciwwskazana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), której wynik ma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wówczas znaczenie rozstrzygające;</w:t>
            </w:r>
          </w:p>
          <w:p w14:paraId="47F1D024" w14:textId="77777777" w:rsidR="004226D9" w:rsidRPr="00717EF9" w:rsidRDefault="004226D9" w:rsidP="009E2C03">
            <w:pPr>
              <w:pStyle w:val="Akapitzlist"/>
              <w:numPr>
                <w:ilvl w:val="0"/>
                <w:numId w:val="1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potwierdzona obecność zakażenia genotypem:</w:t>
            </w:r>
          </w:p>
          <w:p w14:paraId="22CACC86" w14:textId="77777777" w:rsidR="00C27AD7" w:rsidRDefault="004226D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="00C27AD7">
              <w:rPr>
                <w:rFonts w:ascii="Times New Roman" w:hAnsi="Times New Roman"/>
                <w:sz w:val="20"/>
                <w:szCs w:val="20"/>
              </w:rPr>
              <w:t xml:space="preserve">HCV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- w przypadku kwalifikacji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C92">
              <w:rPr>
                <w:rFonts w:ascii="Times New Roman" w:hAnsi="Times New Roman"/>
                <w:sz w:val="20"/>
                <w:szCs w:val="20"/>
              </w:rPr>
              <w:t>do terapii ombitaswirem, pary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taprewirem,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C4C92">
              <w:rPr>
                <w:rFonts w:ascii="Times New Roman" w:hAnsi="Times New Roman"/>
                <w:sz w:val="20"/>
                <w:szCs w:val="20"/>
              </w:rPr>
              <w:t>ry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tonawirem</w:t>
            </w:r>
            <w:r w:rsidR="007D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E2E25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7D53EB">
              <w:rPr>
                <w:rFonts w:ascii="Times New Roman" w:hAnsi="Times New Roman"/>
                <w:sz w:val="20"/>
                <w:szCs w:val="20"/>
              </w:rPr>
              <w:t>skojarz</w:t>
            </w:r>
            <w:r w:rsidR="001E2E25">
              <w:rPr>
                <w:rFonts w:ascii="Times New Roman" w:hAnsi="Times New Roman"/>
                <w:sz w:val="20"/>
                <w:szCs w:val="20"/>
              </w:rPr>
              <w:t>e</w:t>
            </w:r>
            <w:r w:rsidR="007D53EB">
              <w:rPr>
                <w:rFonts w:ascii="Times New Roman" w:hAnsi="Times New Roman"/>
                <w:sz w:val="20"/>
                <w:szCs w:val="20"/>
              </w:rPr>
              <w:t>n</w:t>
            </w:r>
            <w:r w:rsidR="001E2E25">
              <w:rPr>
                <w:rFonts w:ascii="Times New Roman" w:hAnsi="Times New Roman"/>
                <w:sz w:val="20"/>
                <w:szCs w:val="20"/>
              </w:rPr>
              <w:t>iu</w:t>
            </w:r>
            <w:r w:rsidR="007D53EB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="00C27AD7">
              <w:rPr>
                <w:rFonts w:ascii="Times New Roman" w:hAnsi="Times New Roman"/>
                <w:sz w:val="20"/>
                <w:szCs w:val="20"/>
              </w:rPr>
              <w:t xml:space="preserve"> dazabuwirem</w:t>
            </w:r>
            <w:r w:rsidR="000463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D53EB">
              <w:rPr>
                <w:rFonts w:ascii="Times New Roman" w:hAnsi="Times New Roman"/>
                <w:sz w:val="20"/>
                <w:szCs w:val="20"/>
              </w:rPr>
              <w:t>(i ewentualnie rybawiryną)</w:t>
            </w:r>
            <w:r w:rsidR="00C27AD7">
              <w:rPr>
                <w:rFonts w:ascii="Times New Roman" w:hAnsi="Times New Roman"/>
                <w:sz w:val="20"/>
                <w:szCs w:val="20"/>
              </w:rPr>
              <w:t xml:space="preserve"> albo</w:t>
            </w:r>
          </w:p>
          <w:p w14:paraId="5914E32E" w14:textId="77777777" w:rsidR="000F750B" w:rsidRPr="00717EF9" w:rsidRDefault="00C27AD7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4 HCV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w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przypadku </w:t>
            </w:r>
            <w:r w:rsidR="007D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kwalifikacji </w:t>
            </w:r>
            <w:r>
              <w:rPr>
                <w:rFonts w:ascii="Times New Roman" w:hAnsi="Times New Roman"/>
                <w:sz w:val="20"/>
                <w:szCs w:val="20"/>
              </w:rPr>
              <w:t>do terapii ombitaswirem, pary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taprewirem, </w:t>
            </w:r>
            <w:r>
              <w:rPr>
                <w:rFonts w:ascii="Times New Roman" w:hAnsi="Times New Roman"/>
                <w:sz w:val="20"/>
                <w:szCs w:val="20"/>
              </w:rPr>
              <w:t>ry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tonawirem</w:t>
            </w:r>
            <w:r w:rsidR="001E2E25">
              <w:rPr>
                <w:rFonts w:ascii="Times New Roman" w:hAnsi="Times New Roman"/>
                <w:sz w:val="20"/>
                <w:szCs w:val="20"/>
              </w:rPr>
              <w:t xml:space="preserve"> w sk</w:t>
            </w:r>
            <w:r w:rsidR="00046335">
              <w:rPr>
                <w:rFonts w:ascii="Times New Roman" w:hAnsi="Times New Roman"/>
                <w:sz w:val="20"/>
                <w:szCs w:val="20"/>
              </w:rPr>
              <w:t>ojarz</w:t>
            </w:r>
            <w:r w:rsidR="001E2E25">
              <w:rPr>
                <w:rFonts w:ascii="Times New Roman" w:hAnsi="Times New Roman"/>
                <w:sz w:val="20"/>
                <w:szCs w:val="20"/>
              </w:rPr>
              <w:t>eniu</w:t>
            </w:r>
            <w:r w:rsidR="007D53EB">
              <w:rPr>
                <w:rFonts w:ascii="Times New Roman" w:hAnsi="Times New Roman"/>
                <w:sz w:val="20"/>
                <w:szCs w:val="20"/>
              </w:rPr>
              <w:t xml:space="preserve"> z rybawiryną</w:t>
            </w:r>
            <w:r w:rsidR="0004633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>albo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5C45E3" w14:textId="77777777" w:rsidR="000F750B" w:rsidRPr="00717EF9" w:rsidRDefault="000F750B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1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>b HCV- w przypadku kwalifikacji do terapii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>daklataswirem w skojarzeniu z asunaprewirem</w:t>
            </w:r>
            <w:r w:rsidR="00537457">
              <w:rPr>
                <w:rFonts w:ascii="Times New Roman" w:hAnsi="Times New Roman"/>
                <w:sz w:val="20"/>
                <w:szCs w:val="20"/>
              </w:rPr>
              <w:t>,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 xml:space="preserve"> albo </w:t>
            </w:r>
          </w:p>
          <w:p w14:paraId="1BF1D7B4" w14:textId="7C001A96" w:rsidR="000F750B" w:rsidRPr="00717EF9" w:rsidRDefault="004226D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1 HCV - w przypadku kwalifikacji do terapii sofosbuwirem w skojarzeniu z ledipaswirem</w:t>
            </w:r>
            <w:r w:rsidR="005525E9">
              <w:rPr>
                <w:rFonts w:ascii="Times New Roman" w:hAnsi="Times New Roman"/>
                <w:sz w:val="20"/>
                <w:szCs w:val="20"/>
              </w:rPr>
              <w:t>, lub welpataswirem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 (i ewentualnie rybawiryną)</w:t>
            </w:r>
            <w:r w:rsidR="00046335">
              <w:rPr>
                <w:rFonts w:ascii="Times New Roman" w:hAnsi="Times New Roman"/>
                <w:sz w:val="20"/>
                <w:szCs w:val="20"/>
              </w:rPr>
              <w:t>,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 albo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7ECDDBF" w14:textId="77777777" w:rsidR="004226D9" w:rsidRDefault="00A94DF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2,3,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>4,5,6 HCV- w przypadku kwalifikacji do terapii sofosbuwirem w skojarzeniu z rybawiryną albo sofosbuwirem w skojarzeniu z interf</w:t>
            </w:r>
            <w:r>
              <w:rPr>
                <w:rFonts w:ascii="Times New Roman" w:hAnsi="Times New Roman"/>
                <w:sz w:val="20"/>
                <w:szCs w:val="20"/>
              </w:rPr>
              <w:t>eronem pegylowanym i rybawiryną, albo</w:t>
            </w:r>
          </w:p>
          <w:p w14:paraId="46729141" w14:textId="77777777" w:rsidR="00C04A5E" w:rsidRDefault="00A94DF9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525E9">
              <w:rPr>
                <w:rFonts w:ascii="Times New Roman" w:hAnsi="Times New Roman"/>
                <w:sz w:val="20"/>
                <w:szCs w:val="20"/>
              </w:rPr>
              <w:t>1 lub 4 HCV - w przypadku kwalifikacji do terapii grazoprewirem+elbaswirem (i ewentualnie rybawiryną</w:t>
            </w:r>
            <w:r w:rsidR="005525E9" w:rsidRPr="005525E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04A5E">
              <w:rPr>
                <w:rFonts w:ascii="Times New Roman" w:hAnsi="Times New Roman"/>
                <w:sz w:val="20"/>
                <w:szCs w:val="20"/>
              </w:rPr>
              <w:t>albo</w:t>
            </w:r>
          </w:p>
          <w:p w14:paraId="4503BB8F" w14:textId="1DAF7816" w:rsidR="00A94DF9" w:rsidRPr="00717EF9" w:rsidRDefault="00C04A5E" w:rsidP="009E2C0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2,3,4,5,6 HCV- w</w:t>
            </w:r>
            <w:r w:rsidR="00927FE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przypadku kwalifikacji do terapii sofosbuwirem w skojarzeniu z welpataswirem (i ewentualnie rybawiryną)</w:t>
            </w:r>
            <w:r w:rsidR="00A94D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B3F2841" w14:textId="23C211C5" w:rsidR="000F750B" w:rsidRPr="005525E9" w:rsidRDefault="000F750B" w:rsidP="00D470B3">
            <w:pPr>
              <w:pStyle w:val="Akapitzlist"/>
              <w:numPr>
                <w:ilvl w:val="0"/>
                <w:numId w:val="17"/>
              </w:numPr>
              <w:spacing w:after="0"/>
              <w:ind w:left="714" w:hanging="357"/>
              <w:contextualSpacing w:val="0"/>
              <w:rPr>
                <w:sz w:val="20"/>
                <w:szCs w:val="20"/>
              </w:rPr>
            </w:pPr>
          </w:p>
          <w:p w14:paraId="00F80E26" w14:textId="77777777" w:rsidR="004226D9" w:rsidRPr="00717EF9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Do programu kwalifikowani są również świadczeniobiorcy, u których stwierdzono przeciwwskazania do leczenia interferonem lub nietolerancję wcześniejszej terapii interferonem, spełniający łącznie kryteria opisane w pkt. </w:t>
            </w:r>
            <w:r w:rsidR="00CF4575">
              <w:rPr>
                <w:rFonts w:ascii="Times New Roman" w:hAnsi="Times New Roman"/>
                <w:sz w:val="20"/>
                <w:szCs w:val="20"/>
              </w:rPr>
              <w:t>1a, 1b, 1d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.</w:t>
            </w:r>
            <w:r w:rsidR="00CD7C22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4575">
              <w:rPr>
                <w:rFonts w:ascii="Times New Roman" w:hAnsi="Times New Roman"/>
                <w:sz w:val="20"/>
                <w:szCs w:val="20"/>
              </w:rPr>
              <w:br/>
            </w:r>
            <w:r w:rsidRPr="00717EF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Przeciwwskazania do stosowania interferonu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 definiowane są jako:</w:t>
            </w:r>
          </w:p>
          <w:p w14:paraId="474374B0" w14:textId="77777777" w:rsidR="004226D9" w:rsidRPr="00046335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nadwrażliwość na interferony lub na którąkolwiek</w:t>
            </w:r>
            <w:r w:rsidR="00CF4575">
              <w:rPr>
                <w:rFonts w:ascii="Times New Roman" w:hAnsi="Times New Roman"/>
                <w:sz w:val="20"/>
                <w:szCs w:val="20"/>
              </w:rPr>
              <w:t xml:space="preserve"> substancję pomocniczą</w:t>
            </w:r>
            <w:r w:rsidR="0004633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1E05637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niewyrównana marskość wątroby;</w:t>
            </w:r>
          </w:p>
          <w:p w14:paraId="1658257E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zapalenie wątroby lub inna choroba o etiologii</w:t>
            </w:r>
          </w:p>
          <w:p w14:paraId="4EA31E61" w14:textId="77777777" w:rsidR="004226D9" w:rsidRPr="00717EF9" w:rsidRDefault="004226D9" w:rsidP="000F2BDF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autoimmunologicznej;</w:t>
            </w:r>
          </w:p>
          <w:p w14:paraId="62D14448" w14:textId="77777777" w:rsidR="00CF4575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stan po przeszczepieniu wątroby lub innego narządu; </w:t>
            </w:r>
          </w:p>
          <w:p w14:paraId="11355E38" w14:textId="77777777" w:rsidR="00CF4575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pacjenci zakwalifikowani do przeszczepienia wątroby; </w:t>
            </w:r>
          </w:p>
          <w:p w14:paraId="476C3893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ciężka, zwłaszcza niestabilna choroba serca, której utrudnione kontrolowanie zostało potwierdzone konsultacją kardiologiczną;</w:t>
            </w:r>
          </w:p>
          <w:p w14:paraId="1DC33C04" w14:textId="77777777" w:rsidR="00CF4575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zespół metaboliczny, a zwłaszcza trudna do opanowania cukrzyca, której utrudnione kontrolowanie zostało potwierdzone konsultacją endokrynologiczną; </w:t>
            </w:r>
          </w:p>
          <w:p w14:paraId="65E22C69" w14:textId="77777777" w:rsidR="00046335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depresja, myśli samobójcze lub próby samobójcze udokument</w:t>
            </w:r>
            <w:r w:rsidR="00046335">
              <w:rPr>
                <w:rFonts w:ascii="Times New Roman" w:hAnsi="Times New Roman"/>
                <w:sz w:val="20"/>
                <w:szCs w:val="20"/>
              </w:rPr>
              <w:t>owane badaniem psychiatrycznym;</w:t>
            </w:r>
          </w:p>
          <w:p w14:paraId="30CE9282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choroby tarczycy przebiegające z nieprawidłowymi wartościami TSH;</w:t>
            </w:r>
          </w:p>
          <w:p w14:paraId="7FD7614F" w14:textId="77777777" w:rsidR="00CF4575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niedokrwistość; </w:t>
            </w:r>
          </w:p>
          <w:p w14:paraId="04BD1CF9" w14:textId="77777777" w:rsidR="004226D9" w:rsidRPr="00717EF9" w:rsidRDefault="00046335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małopłytkowość &lt; 90 000 /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5BF6">
              <w:rPr>
                <w:rFonts w:ascii="Times New Roman" w:hAnsi="Times New Roman"/>
                <w:sz w:val="20"/>
                <w:szCs w:val="20"/>
              </w:rPr>
              <w:t>µL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60D26F0" w14:textId="77777777" w:rsid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bezwzględna liczba neutrofilów &lt;1500 / </w:t>
            </w:r>
            <w:r w:rsidR="00D25BF6">
              <w:rPr>
                <w:rFonts w:ascii="Times New Roman" w:hAnsi="Times New Roman"/>
                <w:sz w:val="20"/>
                <w:szCs w:val="20"/>
              </w:rPr>
              <w:t>µL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.</w:t>
            </w:r>
            <w:r w:rsid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19BC504" w14:textId="77777777" w:rsidR="004226D9" w:rsidRPr="00717EF9" w:rsidRDefault="004226D9" w:rsidP="00D25BF6">
            <w:pPr>
              <w:spacing w:line="276" w:lineRule="auto"/>
              <w:ind w:left="357"/>
              <w:rPr>
                <w:sz w:val="20"/>
                <w:szCs w:val="20"/>
              </w:rPr>
            </w:pPr>
            <w:r w:rsidRPr="00717EF9">
              <w:rPr>
                <w:b/>
                <w:sz w:val="20"/>
                <w:szCs w:val="20"/>
              </w:rPr>
              <w:t>Nietolerancja interferonu</w:t>
            </w:r>
            <w:r w:rsidRPr="00717EF9">
              <w:rPr>
                <w:sz w:val="20"/>
                <w:szCs w:val="20"/>
              </w:rPr>
              <w:t xml:space="preserve"> definiowana jest jako wystąpienie w trakcie wcześniejszego leczenia przynajmniej jednego z poniższych stanów:</w:t>
            </w:r>
          </w:p>
          <w:p w14:paraId="6FE1FFA5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nadwrażliwość na interferon lub na którąkolwiek</w:t>
            </w:r>
            <w:r w:rsidR="00CF4575">
              <w:rPr>
                <w:rFonts w:ascii="Times New Roman" w:hAnsi="Times New Roman"/>
                <w:sz w:val="20"/>
                <w:szCs w:val="20"/>
              </w:rPr>
              <w:t xml:space="preserve"> substancję pomocniczą;</w:t>
            </w:r>
          </w:p>
          <w:p w14:paraId="4C194AF0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schorzenie autoimmunologiczne;</w:t>
            </w:r>
          </w:p>
          <w:p w14:paraId="015CA58B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zaostrzenie istniejącej uprzednio choroby towarzyszącej;</w:t>
            </w:r>
          </w:p>
          <w:p w14:paraId="5A477C7E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obniżenie wyjściowej masy ciała o więcej niż 20%;</w:t>
            </w:r>
          </w:p>
          <w:p w14:paraId="037FD40E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depresja, myśli samobójcze lub próby samobójcze;</w:t>
            </w:r>
          </w:p>
          <w:p w14:paraId="59F6D9B4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nieprawidłowe wartości TSH;</w:t>
            </w:r>
          </w:p>
          <w:p w14:paraId="6E0AA634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stężenie hemoglobiny &lt;8.5 mg%;</w:t>
            </w:r>
          </w:p>
          <w:p w14:paraId="29971499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małopłytkowość &lt;50 000 / </w:t>
            </w:r>
            <w:r w:rsidR="00D25BF6">
              <w:rPr>
                <w:rFonts w:ascii="Times New Roman" w:hAnsi="Times New Roman"/>
                <w:sz w:val="20"/>
                <w:szCs w:val="20"/>
              </w:rPr>
              <w:t>µ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L;</w:t>
            </w:r>
          </w:p>
          <w:p w14:paraId="23FE073A" w14:textId="77777777" w:rsidR="004226D9" w:rsidRPr="00717EF9" w:rsidRDefault="004226D9" w:rsidP="009E2C03">
            <w:pPr>
              <w:pStyle w:val="Akapitzlist"/>
              <w:numPr>
                <w:ilvl w:val="0"/>
                <w:numId w:val="12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bezwzględna liczba neutrofilów &lt;500/</w:t>
            </w:r>
            <w:r w:rsidR="00D25BF6">
              <w:rPr>
                <w:rFonts w:ascii="Times New Roman" w:hAnsi="Times New Roman"/>
                <w:sz w:val="20"/>
                <w:szCs w:val="20"/>
              </w:rPr>
              <w:t>µ</w:t>
            </w:r>
            <w:r w:rsidR="000F2BDF">
              <w:rPr>
                <w:rFonts w:ascii="Times New Roman" w:hAnsi="Times New Roman"/>
                <w:sz w:val="20"/>
                <w:szCs w:val="20"/>
              </w:rPr>
              <w:t>L.</w:t>
            </w:r>
          </w:p>
          <w:p w14:paraId="63680726" w14:textId="3C0EE3E8" w:rsidR="004226D9" w:rsidRPr="00717EF9" w:rsidRDefault="004226D9" w:rsidP="009E2C03">
            <w:pPr>
              <w:pStyle w:val="Akapitzlist"/>
              <w:numPr>
                <w:ilvl w:val="0"/>
                <w:numId w:val="1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Do programu kwalifikowani są świadczeniobiorcy</w:t>
            </w:r>
            <w:r w:rsidR="000F4C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z</w:t>
            </w:r>
            <w:r w:rsidR="002A7E67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pozawątrobową manifestacją zakażenia HCV, niezależnie od zaawansowania choroby </w:t>
            </w:r>
            <w:r w:rsidR="00B541CE">
              <w:rPr>
                <w:rFonts w:ascii="Times New Roman" w:hAnsi="Times New Roman"/>
                <w:sz w:val="20"/>
                <w:szCs w:val="20"/>
              </w:rPr>
              <w:t>w obrazie histopatologicznym</w:t>
            </w:r>
            <w:r w:rsidR="00513B65">
              <w:rPr>
                <w:rFonts w:ascii="Times New Roman" w:hAnsi="Times New Roman"/>
                <w:sz w:val="20"/>
                <w:szCs w:val="20"/>
              </w:rPr>
              <w:t xml:space="preserve"> wątroby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8E716CC" w14:textId="77777777" w:rsidR="004226D9" w:rsidRPr="00717EF9" w:rsidRDefault="004226D9" w:rsidP="00434D4C">
            <w:pPr>
              <w:spacing w:line="276" w:lineRule="auto"/>
              <w:ind w:left="357" w:hanging="357"/>
              <w:rPr>
                <w:sz w:val="20"/>
                <w:szCs w:val="20"/>
              </w:rPr>
            </w:pPr>
          </w:p>
          <w:p w14:paraId="4462495B" w14:textId="77777777" w:rsidR="002A7E67" w:rsidRPr="00717EF9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/>
                <w:bCs/>
                <w:sz w:val="20"/>
                <w:szCs w:val="20"/>
              </w:rPr>
              <w:t>Kryteria uniemożliwiające kwalifikację do programu:</w:t>
            </w:r>
          </w:p>
          <w:p w14:paraId="09A4F936" w14:textId="77777777" w:rsidR="004226D9" w:rsidRPr="00717EF9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nadwrażliwość na substancję czynną lub substancję pomocniczą;</w:t>
            </w:r>
          </w:p>
          <w:p w14:paraId="18F9353B" w14:textId="77777777" w:rsidR="004226D9" w:rsidRPr="00717EF9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niestwierdzenie HCV RNA w surowicy </w:t>
            </w:r>
            <w:r w:rsidR="002A7E67" w:rsidRPr="00717EF9">
              <w:rPr>
                <w:rFonts w:ascii="Times New Roman" w:hAnsi="Times New Roman"/>
                <w:sz w:val="20"/>
                <w:szCs w:val="20"/>
              </w:rPr>
              <w:t>l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ub w tkance wątrobowej przy obecności przeciwciał anty-HCV;</w:t>
            </w:r>
          </w:p>
          <w:p w14:paraId="2B7BDD25" w14:textId="5FEFA8EC" w:rsidR="004226D9" w:rsidRPr="00717EF9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ciężka niewydolność wątroby (stopień C wg klasyfikacji Child-Pugh) - nie dotyczy </w:t>
            </w:r>
            <w:r w:rsidR="002A7E67" w:rsidRPr="00717EF9">
              <w:rPr>
                <w:rFonts w:ascii="Times New Roman" w:hAnsi="Times New Roman"/>
                <w:sz w:val="20"/>
                <w:szCs w:val="20"/>
              </w:rPr>
              <w:t xml:space="preserve">kwalifikowania do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terapii z użyciem sofosbuwiru w skojarzeniu z ledipaswirem</w:t>
            </w:r>
            <w:r w:rsidR="002A7E67" w:rsidRPr="00717EF9">
              <w:rPr>
                <w:rFonts w:ascii="Times New Roman" w:hAnsi="Times New Roman"/>
                <w:sz w:val="20"/>
                <w:szCs w:val="20"/>
              </w:rPr>
              <w:t xml:space="preserve"> lub </w:t>
            </w:r>
            <w:r w:rsidR="00907303">
              <w:rPr>
                <w:rFonts w:ascii="Times New Roman" w:hAnsi="Times New Roman"/>
                <w:sz w:val="20"/>
                <w:szCs w:val="20"/>
              </w:rPr>
              <w:t xml:space="preserve">welpataswirem oraz ewentualnie z </w:t>
            </w:r>
            <w:r w:rsidR="002A7E67" w:rsidRPr="00717EF9">
              <w:rPr>
                <w:rFonts w:ascii="Times New Roman" w:hAnsi="Times New Roman"/>
                <w:sz w:val="20"/>
                <w:szCs w:val="20"/>
              </w:rPr>
              <w:t>rybawiryną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5DC9C06" w14:textId="624435A4" w:rsidR="00B541CE" w:rsidRDefault="00B541CE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konieczność przyjmowania leków mogących obniżać aktywność osoczową sofosbuwiru albo sofosbuwiru i ledipaswiru albo sofosbuwiru i welpataswiru</w:t>
            </w:r>
            <w:r w:rsidR="00964651">
              <w:rPr>
                <w:rFonts w:ascii="Times New Roman" w:hAnsi="Times New Roman"/>
                <w:sz w:val="20"/>
                <w:szCs w:val="20"/>
              </w:rPr>
              <w:t>, w szczególności silnych induktorów glikoproteiny P w jelitach (o ile dotyczy);</w:t>
            </w:r>
          </w:p>
          <w:p w14:paraId="22ACCEAB" w14:textId="77777777" w:rsidR="004226D9" w:rsidRPr="00717EF9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czynne uzależnienie od alkoholu lub środków odurzających;</w:t>
            </w:r>
          </w:p>
          <w:p w14:paraId="5A814DC9" w14:textId="77777777" w:rsidR="004226D9" w:rsidRPr="00717EF9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ciąża lub karmienie piersią;</w:t>
            </w:r>
          </w:p>
          <w:p w14:paraId="2D9205CA" w14:textId="77777777" w:rsidR="004226D9" w:rsidRPr="00717EF9" w:rsidRDefault="004226D9" w:rsidP="009E2C03">
            <w:pPr>
              <w:pStyle w:val="Akapitzlist"/>
              <w:numPr>
                <w:ilvl w:val="0"/>
                <w:numId w:val="1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lastRenderedPageBreak/>
              <w:t>inne przeciwwskazania do stosowania określone w</w:t>
            </w:r>
            <w:r w:rsidR="002A7E67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odpowiednich charakterystykach:</w:t>
            </w:r>
          </w:p>
          <w:p w14:paraId="55F4F431" w14:textId="77777777" w:rsidR="004226D9" w:rsidRPr="00717EF9" w:rsidRDefault="004226D9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dazabuwiru i ombitaswiru + parytaprewir + rytonawir</w:t>
            </w:r>
            <w:r w:rsidR="002A7E67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oraz rybawiryn</w:t>
            </w:r>
            <w:r w:rsidR="002A7E67" w:rsidRPr="00717EF9">
              <w:rPr>
                <w:rFonts w:ascii="Times New Roman" w:hAnsi="Times New Roman"/>
                <w:sz w:val="20"/>
                <w:szCs w:val="20"/>
              </w:rPr>
              <w:t>y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 (o ile dotyczy) albo</w:t>
            </w:r>
          </w:p>
          <w:p w14:paraId="3148E587" w14:textId="77777777" w:rsidR="004226D9" w:rsidRPr="00717EF9" w:rsidRDefault="004226D9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daklataswiru i asunaprewiru (o ile dotyczy), albo</w:t>
            </w:r>
          </w:p>
          <w:p w14:paraId="549A2AD5" w14:textId="224A09E2" w:rsidR="00046335" w:rsidRDefault="004226D9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sofosbuwiru lub sofosbu</w:t>
            </w:r>
            <w:r w:rsidR="00046335">
              <w:rPr>
                <w:rFonts w:ascii="Times New Roman" w:hAnsi="Times New Roman"/>
                <w:sz w:val="20"/>
                <w:szCs w:val="20"/>
              </w:rPr>
              <w:t>wiru</w:t>
            </w:r>
            <w:r w:rsidR="00C347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5102F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046335">
              <w:rPr>
                <w:rFonts w:ascii="Times New Roman" w:hAnsi="Times New Roman"/>
                <w:sz w:val="20"/>
                <w:szCs w:val="20"/>
              </w:rPr>
              <w:t>ledipaswir</w:t>
            </w:r>
            <w:r w:rsidR="00A5102F">
              <w:rPr>
                <w:rFonts w:ascii="Times New Roman" w:hAnsi="Times New Roman"/>
                <w:sz w:val="20"/>
                <w:szCs w:val="20"/>
              </w:rPr>
              <w:t>em</w:t>
            </w:r>
            <w:r w:rsidR="00907303">
              <w:rPr>
                <w:rFonts w:ascii="Times New Roman" w:hAnsi="Times New Roman"/>
                <w:sz w:val="20"/>
                <w:szCs w:val="20"/>
              </w:rPr>
              <w:t xml:space="preserve"> lub sofosbuwiru z welpataswirem</w:t>
            </w:r>
            <w:r w:rsidR="001C243F">
              <w:rPr>
                <w:rFonts w:ascii="Times New Roman" w:hAnsi="Times New Roman"/>
                <w:sz w:val="20"/>
                <w:szCs w:val="20"/>
              </w:rPr>
              <w:t xml:space="preserve"> oraz</w:t>
            </w:r>
            <w:r w:rsidR="00907303">
              <w:rPr>
                <w:rFonts w:ascii="Times New Roman" w:hAnsi="Times New Roman"/>
                <w:sz w:val="20"/>
                <w:szCs w:val="20"/>
              </w:rPr>
              <w:t xml:space="preserve"> pegylowanego interferonu i/lub rybawiryny (o ile dotyczy)</w:t>
            </w:r>
            <w:r w:rsidR="000F2BDF">
              <w:rPr>
                <w:rFonts w:ascii="Times New Roman" w:hAnsi="Times New Roman"/>
                <w:sz w:val="20"/>
                <w:szCs w:val="20"/>
              </w:rPr>
              <w:t>, albo</w:t>
            </w:r>
          </w:p>
          <w:p w14:paraId="396A0F76" w14:textId="77777777" w:rsidR="000F2BDF" w:rsidRPr="00046335" w:rsidRDefault="000F2BDF" w:rsidP="009E2C03">
            <w:pPr>
              <w:pStyle w:val="Akapitzlist"/>
              <w:numPr>
                <w:ilvl w:val="0"/>
                <w:numId w:val="1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grazoprewiru+elbaswiru oraz rybawiryny (o ile dotyczy).</w:t>
            </w:r>
          </w:p>
          <w:p w14:paraId="34DFF2CA" w14:textId="77777777" w:rsidR="004226D9" w:rsidRPr="00717EF9" w:rsidRDefault="004226D9" w:rsidP="00434D4C">
            <w:pPr>
              <w:spacing w:line="276" w:lineRule="auto"/>
              <w:ind w:left="357" w:hanging="357"/>
              <w:rPr>
                <w:sz w:val="20"/>
                <w:szCs w:val="20"/>
              </w:rPr>
            </w:pPr>
          </w:p>
          <w:p w14:paraId="0E720FD2" w14:textId="77777777" w:rsidR="004226D9" w:rsidRPr="00717EF9" w:rsidRDefault="004226D9" w:rsidP="009E2C03">
            <w:pPr>
              <w:pStyle w:val="Akapitzlist"/>
              <w:numPr>
                <w:ilvl w:val="0"/>
                <w:numId w:val="1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/>
                <w:sz w:val="20"/>
                <w:szCs w:val="20"/>
              </w:rPr>
              <w:t>Kryteria wyłączenia z programu:</w:t>
            </w:r>
          </w:p>
          <w:p w14:paraId="48D595FF" w14:textId="77777777" w:rsidR="004226D9" w:rsidRPr="00717EF9" w:rsidRDefault="004226D9" w:rsidP="009E2C03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ujawnienie okoliczności określonych w ust. 2 w trakcie</w:t>
            </w:r>
            <w:r w:rsidR="006768D6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leczenia;</w:t>
            </w:r>
          </w:p>
          <w:p w14:paraId="44E84602" w14:textId="77777777" w:rsidR="004226D9" w:rsidRPr="00717EF9" w:rsidRDefault="004226D9" w:rsidP="009E2C03">
            <w:pPr>
              <w:pStyle w:val="Akapitzlist"/>
              <w:numPr>
                <w:ilvl w:val="0"/>
                <w:numId w:val="14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działania niepożądane stosowanych w programie leków</w:t>
            </w:r>
            <w:r w:rsidR="006768D6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uzasadniające przerwanie leczenia:</w:t>
            </w:r>
          </w:p>
          <w:p w14:paraId="1DD2838F" w14:textId="77777777" w:rsidR="004226D9" w:rsidRPr="00717EF9" w:rsidRDefault="004226D9" w:rsidP="009E2C03">
            <w:pPr>
              <w:pStyle w:val="Akapitzlist"/>
              <w:numPr>
                <w:ilvl w:val="0"/>
                <w:numId w:val="1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w opinii lekarza prowadzącego terapię lub</w:t>
            </w:r>
          </w:p>
          <w:p w14:paraId="300DCDB5" w14:textId="77777777" w:rsidR="004226D9" w:rsidRDefault="004226D9" w:rsidP="009E2C03">
            <w:pPr>
              <w:pStyle w:val="Akapitzlist"/>
              <w:numPr>
                <w:ilvl w:val="0"/>
                <w:numId w:val="1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zgodnie z charakterystykami odpowiednich</w:t>
            </w:r>
            <w:r w:rsidR="00CD7C22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produktów leczn</w:t>
            </w:r>
            <w:r w:rsidR="006768D6" w:rsidRPr="00717EF9">
              <w:rPr>
                <w:rFonts w:ascii="Times New Roman" w:hAnsi="Times New Roman"/>
                <w:sz w:val="20"/>
                <w:szCs w:val="20"/>
              </w:rPr>
              <w:t>iczych</w:t>
            </w:r>
            <w:r w:rsidR="0053745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C995A8B" w14:textId="77777777" w:rsidR="008721CB" w:rsidRPr="00C3573A" w:rsidRDefault="00612C4F" w:rsidP="009E2C03">
            <w:pPr>
              <w:pStyle w:val="Akapitzlist"/>
              <w:widowControl w:val="0"/>
              <w:numPr>
                <w:ilvl w:val="0"/>
                <w:numId w:val="14"/>
              </w:numPr>
              <w:spacing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wystąpienie</w:t>
            </w:r>
            <w:r w:rsidRPr="00612C4F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przełomu wirusologicznego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(zwiększenie wartości HCV RNA o więcej niż 1 log</w:t>
            </w:r>
            <w:r w:rsidRPr="00612C4F">
              <w:rPr>
                <w:rFonts w:ascii="Times New Roman" w:hAnsi="Times New Roman"/>
                <w:spacing w:val="1"/>
                <w:sz w:val="20"/>
                <w:szCs w:val="20"/>
                <w:vertAlign w:val="subscript"/>
              </w:rPr>
              <w:t>10</w:t>
            </w:r>
            <w:r w:rsidRPr="00612C4F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od najniższej</w:t>
            </w:r>
            <w:r w:rsidRPr="00612C4F">
              <w:rPr>
                <w:rFonts w:ascii="Times New Roman" w:hAnsi="Times New Roman"/>
                <w:spacing w:val="1"/>
                <w:sz w:val="20"/>
                <w:szCs w:val="20"/>
                <w:lang w:eastAsia="pl-PL"/>
              </w:rPr>
              <w:t xml:space="preserve"> </w:t>
            </w:r>
            <w:r w:rsidRPr="00612C4F">
              <w:rPr>
                <w:rFonts w:ascii="Times New Roman" w:hAnsi="Times New Roman"/>
                <w:spacing w:val="1"/>
                <w:sz w:val="20"/>
                <w:szCs w:val="20"/>
              </w:rPr>
              <w:t xml:space="preserve">wartości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uzyskanej w trakcie leczenia) </w:t>
            </w:r>
            <w:r w:rsidR="008721CB" w:rsidRPr="00C3573A">
              <w:rPr>
                <w:rFonts w:ascii="Times New Roman" w:hAnsi="Times New Roman"/>
                <w:spacing w:val="1"/>
                <w:sz w:val="20"/>
                <w:szCs w:val="20"/>
              </w:rPr>
              <w:t>– dotyczy terapii daklataswirem w skojarzeniu z asunaprewirem.</w:t>
            </w:r>
          </w:p>
        </w:tc>
        <w:tc>
          <w:tcPr>
            <w:tcW w:w="1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4C68" w14:textId="77777777" w:rsidR="006768D6" w:rsidRPr="00717EF9" w:rsidRDefault="004226D9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Dazabuwir i ombitaswir + parytaprewir + rytonawir</w:t>
            </w:r>
            <w:r w:rsidR="006768D6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w ramach programu dawkuje się zgodnie z odpowiednimi Charakterystykami Produktów Leczniczych.</w:t>
            </w:r>
            <w:r w:rsidR="006768D6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506F751" w14:textId="77777777" w:rsidR="004226D9" w:rsidRPr="00717EF9" w:rsidRDefault="004226D9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/>
                <w:bCs/>
                <w:sz w:val="20"/>
                <w:szCs w:val="20"/>
              </w:rPr>
              <w:t>Daklataswir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w ramach programu stosuje się:</w:t>
            </w:r>
          </w:p>
          <w:p w14:paraId="374AA77B" w14:textId="77777777" w:rsidR="004226D9" w:rsidRPr="00717EF9" w:rsidRDefault="004226D9" w:rsidP="009E2C03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w dawce 60 mg (1 tabletka 1 x dziennie),</w:t>
            </w:r>
          </w:p>
          <w:p w14:paraId="4607F758" w14:textId="77777777" w:rsidR="00725F8A" w:rsidRPr="00725F8A" w:rsidRDefault="004226D9" w:rsidP="009E2C03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F8A">
              <w:rPr>
                <w:rFonts w:ascii="Times New Roman" w:hAnsi="Times New Roman"/>
                <w:bCs/>
                <w:sz w:val="20"/>
                <w:szCs w:val="20"/>
              </w:rPr>
              <w:t xml:space="preserve">wyłącznie w skojarzeniu z asunaprewirem </w:t>
            </w:r>
            <w:r w:rsidR="001F73BF" w:rsidRPr="00725F8A">
              <w:rPr>
                <w:rFonts w:ascii="Times New Roman" w:hAnsi="Times New Roman"/>
                <w:bCs/>
                <w:sz w:val="20"/>
                <w:szCs w:val="20"/>
              </w:rPr>
              <w:t>w dawce 100 mg podawanej dwa razy dziennie</w:t>
            </w:r>
            <w:r w:rsidR="00725F8A" w:rsidRPr="00725F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AA8C6C2" w14:textId="77777777" w:rsidR="004226D9" w:rsidRPr="00725F8A" w:rsidRDefault="00725F8A" w:rsidP="00725F8A">
            <w:pPr>
              <w:pStyle w:val="Akapitzlist"/>
              <w:spacing w:after="0"/>
              <w:ind w:left="714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5F8A">
              <w:rPr>
                <w:rFonts w:ascii="Times New Roman" w:hAnsi="Times New Roman"/>
                <w:bCs/>
                <w:sz w:val="20"/>
                <w:szCs w:val="20"/>
              </w:rPr>
              <w:t>(1 tabl. 2 x dziennie</w:t>
            </w:r>
            <w:r w:rsidR="001F73BF" w:rsidRPr="00725F8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7DDC781" w14:textId="77777777" w:rsidR="004226D9" w:rsidRPr="00717EF9" w:rsidRDefault="004226D9" w:rsidP="009E2C03">
            <w:pPr>
              <w:pStyle w:val="Akapitzlist"/>
              <w:numPr>
                <w:ilvl w:val="0"/>
                <w:numId w:val="4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n</w:t>
            </w:r>
            <w:r w:rsidR="00D61FC0">
              <w:rPr>
                <w:rFonts w:ascii="Times New Roman" w:hAnsi="Times New Roman"/>
                <w:bCs/>
                <w:sz w:val="20"/>
                <w:szCs w:val="20"/>
              </w:rPr>
              <w:t>ie dłużej niż przez 24 tygodnie.</w:t>
            </w:r>
          </w:p>
          <w:p w14:paraId="123BA790" w14:textId="0ABC212F" w:rsidR="00BB49F8" w:rsidRDefault="004226D9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Sofosbuwir </w:t>
            </w:r>
            <w:r w:rsidR="005A3B5B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717E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sofosbuwir+ledipaswir</w:t>
            </w:r>
            <w:r w:rsidR="005A3B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sofosbuwir +welpataswir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w ramach</w:t>
            </w:r>
            <w:r w:rsidR="006768D6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programu </w:t>
            </w:r>
            <w:r w:rsidR="00046335">
              <w:rPr>
                <w:rFonts w:ascii="Times New Roman" w:hAnsi="Times New Roman"/>
                <w:bCs/>
                <w:sz w:val="20"/>
                <w:szCs w:val="20"/>
              </w:rPr>
              <w:t>dawkuje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się</w:t>
            </w:r>
            <w:r w:rsidR="006768D6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zgodnie z odpowiednimi Charakterystykami</w:t>
            </w:r>
            <w:r w:rsidR="006768D6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Produktów Leczniczych;</w:t>
            </w:r>
            <w:r w:rsidR="006768D6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597F0FE" w14:textId="4FB4ABFB" w:rsidR="00B32907" w:rsidRPr="00C54EC7" w:rsidRDefault="00B32907" w:rsidP="00612C4F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54EC7">
              <w:rPr>
                <w:rFonts w:ascii="Times New Roman" w:hAnsi="Times New Roman"/>
                <w:b/>
                <w:bCs/>
                <w:sz w:val="20"/>
                <w:szCs w:val="20"/>
              </w:rPr>
              <w:t>Rybawirynę</w:t>
            </w:r>
            <w:r w:rsidRPr="00C54EC7">
              <w:rPr>
                <w:rFonts w:ascii="Times New Roman" w:hAnsi="Times New Roman"/>
                <w:bCs/>
                <w:sz w:val="20"/>
                <w:szCs w:val="20"/>
              </w:rPr>
              <w:t xml:space="preserve"> niezbędną do terapii skojarzonej z sofosbuwirem </w:t>
            </w:r>
            <w:r w:rsidR="00D303C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C54EC7">
              <w:rPr>
                <w:rFonts w:ascii="Times New Roman" w:hAnsi="Times New Roman"/>
                <w:bCs/>
                <w:sz w:val="20"/>
                <w:szCs w:val="20"/>
              </w:rPr>
              <w:t xml:space="preserve"> sofosbuwirem i ledipaswirem</w:t>
            </w:r>
            <w:r w:rsidR="00D303C1">
              <w:rPr>
                <w:rFonts w:ascii="Times New Roman" w:hAnsi="Times New Roman"/>
                <w:bCs/>
                <w:sz w:val="20"/>
                <w:szCs w:val="20"/>
              </w:rPr>
              <w:t xml:space="preserve"> lub sofosbuwirem i welpataswirem</w:t>
            </w:r>
            <w:r w:rsidRPr="00C54EC7">
              <w:rPr>
                <w:rFonts w:ascii="Times New Roman" w:hAnsi="Times New Roman"/>
                <w:bCs/>
                <w:sz w:val="20"/>
                <w:szCs w:val="20"/>
              </w:rPr>
              <w:t xml:space="preserve">, należy stosować zgodnie ze schematem dawkowania określonym w </w:t>
            </w:r>
            <w:r w:rsidR="00C347DC" w:rsidRPr="00C54EC7">
              <w:rPr>
                <w:rFonts w:ascii="Times New Roman" w:hAnsi="Times New Roman"/>
                <w:bCs/>
                <w:sz w:val="20"/>
                <w:szCs w:val="20"/>
              </w:rPr>
              <w:t xml:space="preserve">Charakterystyce Produktu Leczniczego zawierającego sofosbuwir </w:t>
            </w:r>
            <w:r w:rsidR="00D303C1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C347DC" w:rsidRPr="00C54EC7">
              <w:rPr>
                <w:rFonts w:ascii="Times New Roman" w:hAnsi="Times New Roman"/>
                <w:bCs/>
                <w:sz w:val="20"/>
                <w:szCs w:val="20"/>
              </w:rPr>
              <w:t xml:space="preserve"> sofosbuwir+ ledipaswir</w:t>
            </w:r>
            <w:r w:rsidR="00D303C1">
              <w:rPr>
                <w:rFonts w:ascii="Times New Roman" w:hAnsi="Times New Roman"/>
                <w:bCs/>
                <w:sz w:val="20"/>
                <w:szCs w:val="20"/>
              </w:rPr>
              <w:t xml:space="preserve"> lub sofosbuwir +welpataswir</w:t>
            </w:r>
            <w:r w:rsidR="00C54EC7" w:rsidRPr="00C54EC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C54EC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54EC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C54EC7">
              <w:rPr>
                <w:rFonts w:ascii="Times New Roman" w:hAnsi="Times New Roman"/>
                <w:bCs/>
                <w:sz w:val="20"/>
                <w:szCs w:val="20"/>
              </w:rPr>
              <w:t xml:space="preserve">Rybawiryna w ilości niezbędnej do prowadzenia terapii z użyciem </w:t>
            </w:r>
            <w:r w:rsidR="00C347DC" w:rsidRPr="00C54EC7">
              <w:rPr>
                <w:rFonts w:ascii="Times New Roman" w:hAnsi="Times New Roman"/>
                <w:bCs/>
                <w:sz w:val="20"/>
                <w:szCs w:val="20"/>
              </w:rPr>
              <w:t>tych leków</w:t>
            </w:r>
            <w:r w:rsidRPr="00C54EC7">
              <w:rPr>
                <w:rFonts w:ascii="Times New Roman" w:hAnsi="Times New Roman"/>
                <w:bCs/>
                <w:sz w:val="20"/>
                <w:szCs w:val="20"/>
              </w:rPr>
              <w:t xml:space="preserve"> jest finansowana w ramach programu lekowego „Leczenie przewlekłego wirusowego zapalenia wątroby typu C (ICD-10 B 18.2)" -</w:t>
            </w:r>
            <w:r w:rsidR="00C347DC" w:rsidRPr="00C54EC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54EC7">
              <w:rPr>
                <w:rFonts w:ascii="Times New Roman" w:hAnsi="Times New Roman"/>
                <w:bCs/>
                <w:sz w:val="20"/>
                <w:szCs w:val="20"/>
              </w:rPr>
              <w:t>załącznik B.2 do obwieszczenia Ministra Zdrowia</w:t>
            </w:r>
          </w:p>
          <w:p w14:paraId="0105042A" w14:textId="77777777" w:rsidR="00C347DC" w:rsidRDefault="004226D9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/>
                <w:bCs/>
                <w:sz w:val="20"/>
                <w:szCs w:val="20"/>
              </w:rPr>
              <w:t>In</w:t>
            </w:r>
            <w:r w:rsidR="006768D6" w:rsidRPr="00717EF9">
              <w:rPr>
                <w:rFonts w:ascii="Times New Roman" w:hAnsi="Times New Roman"/>
                <w:b/>
                <w:bCs/>
                <w:sz w:val="20"/>
                <w:szCs w:val="20"/>
              </w:rPr>
              <w:t>terferon pegylowany</w:t>
            </w:r>
            <w:r w:rsidR="006768D6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6768D6" w:rsidRPr="00717EF9">
              <w:rPr>
                <w:rFonts w:ascii="Times New Roman" w:hAnsi="Times New Roman"/>
                <w:b/>
                <w:bCs/>
                <w:sz w:val="20"/>
                <w:szCs w:val="20"/>
              </w:rPr>
              <w:t>i rybawiryn</w:t>
            </w:r>
            <w:r w:rsidR="00B32907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="006768D6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niezbędn</w:t>
            </w:r>
            <w:r w:rsidR="005C7F87" w:rsidRPr="00717EF9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do</w:t>
            </w:r>
            <w:r w:rsidR="006768D6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terapii skojarzonej z sofosbuwirem</w:t>
            </w:r>
            <w:r w:rsidR="00B32907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należy stosować</w:t>
            </w:r>
            <w:r w:rsidR="006768D6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zgodnie z</w:t>
            </w:r>
            <w:r w:rsidR="005C7F87" w:rsidRPr="00717EF9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D2978" w:rsidRPr="00717EF9">
              <w:rPr>
                <w:rFonts w:ascii="Times New Roman" w:hAnsi="Times New Roman"/>
                <w:bCs/>
                <w:sz w:val="20"/>
                <w:szCs w:val="20"/>
              </w:rPr>
              <w:t>schematem</w:t>
            </w:r>
            <w:r w:rsidR="005C7F87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dawkowania określonym </w:t>
            </w:r>
            <w:r w:rsidR="00C347DC">
              <w:rPr>
                <w:rFonts w:ascii="Times New Roman" w:hAnsi="Times New Roman"/>
                <w:bCs/>
                <w:sz w:val="20"/>
                <w:szCs w:val="20"/>
              </w:rPr>
              <w:t xml:space="preserve">w </w:t>
            </w:r>
            <w:r w:rsidR="00C347DC" w:rsidRPr="00C347DC">
              <w:rPr>
                <w:rFonts w:ascii="Times New Roman" w:hAnsi="Times New Roman"/>
                <w:bCs/>
                <w:sz w:val="20"/>
                <w:szCs w:val="20"/>
              </w:rPr>
              <w:t>Charakterystyce Produktu Leczniczego zawierającego sofosbuwir</w:t>
            </w:r>
            <w:r w:rsidR="00C347DC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C3573A" w:rsidRPr="00C3573A">
              <w:rPr>
                <w:rFonts w:ascii="Times New Roman" w:hAnsi="Times New Roman"/>
                <w:bCs/>
                <w:sz w:val="20"/>
                <w:szCs w:val="20"/>
              </w:rPr>
              <w:t>W przypadku, gdy w trakcie prowadzonej terapii sofosbu</w:t>
            </w:r>
            <w:r w:rsidR="007D53EB">
              <w:rPr>
                <w:rFonts w:ascii="Times New Roman" w:hAnsi="Times New Roman"/>
                <w:bCs/>
                <w:sz w:val="20"/>
                <w:szCs w:val="20"/>
              </w:rPr>
              <w:t>w</w:t>
            </w:r>
            <w:r w:rsidR="00C3573A" w:rsidRPr="00C3573A">
              <w:rPr>
                <w:rFonts w:ascii="Times New Roman" w:hAnsi="Times New Roman"/>
                <w:bCs/>
                <w:sz w:val="20"/>
                <w:szCs w:val="20"/>
              </w:rPr>
              <w:t>irem w skojarzeniu z interferonem pegylowanym i rybawiryną wystąpi nietolerancja interferonu</w:t>
            </w:r>
            <w:r w:rsidR="00725F8A">
              <w:rPr>
                <w:rFonts w:ascii="Times New Roman" w:hAnsi="Times New Roman"/>
                <w:bCs/>
                <w:sz w:val="20"/>
                <w:szCs w:val="20"/>
              </w:rPr>
              <w:t xml:space="preserve"> dopuszczalne jest</w:t>
            </w:r>
            <w:r w:rsidR="00725F8A" w:rsidRPr="00725F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3573A" w:rsidRPr="00C3573A">
              <w:rPr>
                <w:rFonts w:ascii="Times New Roman" w:hAnsi="Times New Roman"/>
                <w:bCs/>
                <w:sz w:val="20"/>
                <w:szCs w:val="20"/>
              </w:rPr>
              <w:t xml:space="preserve">zaprzestanie podawania </w:t>
            </w:r>
            <w:r w:rsidR="00B32907" w:rsidRPr="00C3573A">
              <w:rPr>
                <w:rFonts w:ascii="Times New Roman" w:hAnsi="Times New Roman"/>
                <w:bCs/>
                <w:sz w:val="20"/>
                <w:szCs w:val="20"/>
              </w:rPr>
              <w:t>interferonu</w:t>
            </w:r>
            <w:r w:rsidR="00C3573A" w:rsidRPr="00C3573A">
              <w:rPr>
                <w:rFonts w:ascii="Times New Roman" w:hAnsi="Times New Roman"/>
                <w:bCs/>
                <w:sz w:val="20"/>
                <w:szCs w:val="20"/>
              </w:rPr>
              <w:t xml:space="preserve"> pegylowanego i kontynuacja terapii sofosbuwirem z rybawiryną do czasu określonego dla takiej terapii w </w:t>
            </w:r>
            <w:r w:rsidR="00C347DC" w:rsidRPr="00C347DC">
              <w:rPr>
                <w:rFonts w:ascii="Times New Roman" w:hAnsi="Times New Roman"/>
                <w:bCs/>
                <w:sz w:val="20"/>
                <w:szCs w:val="20"/>
              </w:rPr>
              <w:t>Charakterystyce Produktu Leczniczego zawierającego sofosbuwir</w:t>
            </w:r>
            <w:r w:rsidR="00B3290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CD7C22" w:rsidRPr="00717EF9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="005C7F87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Interferon pegylowany i rybawiryna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w ilości</w:t>
            </w:r>
            <w:r w:rsidR="005C7F87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niezbędnej do prowadzenia terapii z użyciem</w:t>
            </w:r>
            <w:r w:rsidR="005C7F87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sofosbuwiru </w:t>
            </w:r>
            <w:r w:rsidR="005C7F87"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są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finansowane w ramach programu lekowego „Leczenie przewlekłego wirusowego zapalenia wątroby typu C (ICD-10 B 18.2)" </w:t>
            </w:r>
          </w:p>
          <w:p w14:paraId="387D621A" w14:textId="77777777" w:rsidR="004226D9" w:rsidRDefault="004226D9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C347D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załącznik B.2 do obwieszczenia Ministra Zdrowia</w:t>
            </w:r>
            <w:r w:rsidR="005C7F87" w:rsidRPr="00717EF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D2944AE" w14:textId="77777777" w:rsidR="00D61FC0" w:rsidRDefault="00D61FC0" w:rsidP="009E2C03">
            <w:pPr>
              <w:pStyle w:val="Akapitzlist"/>
              <w:numPr>
                <w:ilvl w:val="0"/>
                <w:numId w:val="2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Grazoprewir+elbaswir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 xml:space="preserve"> w ramach programu da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wkuje się zgodnie z odpowiednią Charakterystyką Produktu </w:t>
            </w:r>
            <w:r w:rsidRPr="00717EF9">
              <w:rPr>
                <w:rFonts w:ascii="Times New Roman" w:hAnsi="Times New Roman"/>
                <w:bCs/>
                <w:sz w:val="20"/>
                <w:szCs w:val="20"/>
              </w:rPr>
              <w:t>Lecznicz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ego.</w:t>
            </w:r>
          </w:p>
          <w:p w14:paraId="733CA638" w14:textId="77777777" w:rsidR="00D61FC0" w:rsidRDefault="00D61FC0" w:rsidP="00D61FC0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54EC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Rybawirynę</w:t>
            </w:r>
            <w:r w:rsidRPr="00C54EC7">
              <w:rPr>
                <w:rFonts w:ascii="Times New Roman" w:hAnsi="Times New Roman"/>
                <w:bCs/>
                <w:sz w:val="20"/>
                <w:szCs w:val="20"/>
              </w:rPr>
              <w:t xml:space="preserve"> niezbędną do terapii skojarzonej z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grazoprewirem i elbaswirem</w:t>
            </w:r>
            <w:r w:rsidRPr="00C54EC7">
              <w:rPr>
                <w:rFonts w:ascii="Times New Roman" w:hAnsi="Times New Roman"/>
                <w:bCs/>
                <w:sz w:val="20"/>
                <w:szCs w:val="20"/>
              </w:rPr>
              <w:t xml:space="preserve">, należy stosować zgodnie ze schematem dawkowania określonym w Charakterystyce Produktu Leczniczego zawierającego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grazoprewir+elbaswir.</w:t>
            </w:r>
          </w:p>
          <w:p w14:paraId="78C19878" w14:textId="77777777" w:rsidR="00D61FC0" w:rsidRPr="00717EF9" w:rsidRDefault="00D61FC0" w:rsidP="00D61FC0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C54EC7">
              <w:rPr>
                <w:rFonts w:ascii="Times New Roman" w:hAnsi="Times New Roman"/>
                <w:bCs/>
                <w:sz w:val="20"/>
                <w:szCs w:val="20"/>
              </w:rPr>
              <w:t>Rybawiryna w ilości niezbędnej do prowadzenia terapii z użyciem tych leków jest finansowana w ramach programu lekowego „Leczenie przewlekłego wirusowego zapalenia wątroby typu C (ICD-10 B 18.2)" - załącznik B.2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C54EC7">
              <w:rPr>
                <w:rFonts w:ascii="Times New Roman" w:hAnsi="Times New Roman"/>
                <w:bCs/>
                <w:sz w:val="20"/>
                <w:szCs w:val="20"/>
              </w:rPr>
              <w:t xml:space="preserve"> do obwieszczenia Ministra Zdrowia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14:paraId="3603239D" w14:textId="77777777" w:rsidR="00D61FC0" w:rsidRPr="00717EF9" w:rsidRDefault="00D61FC0" w:rsidP="00B32907">
            <w:pPr>
              <w:pStyle w:val="Akapitzlist"/>
              <w:spacing w:after="0"/>
              <w:ind w:left="357"/>
              <w:contextualSpacing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06CB" w14:textId="77777777" w:rsidR="004226D9" w:rsidRPr="00717EF9" w:rsidRDefault="004226D9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Badania przy kwalifikacji do leczenia:</w:t>
            </w:r>
          </w:p>
          <w:p w14:paraId="31635B89" w14:textId="77777777" w:rsidR="004226D9" w:rsidRPr="00717EF9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oznaczenie HCV</w:t>
            </w:r>
            <w:r w:rsidR="00D25BF6">
              <w:rPr>
                <w:rFonts w:ascii="Times New Roman" w:hAnsi="Times New Roman"/>
                <w:sz w:val="20"/>
                <w:szCs w:val="20"/>
              </w:rPr>
              <w:t xml:space="preserve"> RNA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 metodą ilościową;</w:t>
            </w:r>
          </w:p>
          <w:p w14:paraId="4BBB5CAD" w14:textId="77777777" w:rsidR="004226D9" w:rsidRPr="00717EF9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DDF44BE" w14:textId="77777777" w:rsidR="003926D5" w:rsidRDefault="008C520F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oznaczenie aktywności Al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>AT</w:t>
            </w:r>
            <w:r w:rsidR="003926D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95D1C72" w14:textId="77777777" w:rsidR="004226D9" w:rsidRPr="00717EF9" w:rsidRDefault="003926D5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3926D5">
              <w:rPr>
                <w:rFonts w:ascii="Times New Roman" w:hAnsi="Times New Roman"/>
                <w:sz w:val="20"/>
                <w:szCs w:val="20"/>
              </w:rPr>
              <w:t>oznaczenie aktywności AspAT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dotyczy kwalifikacji do terapii daklataswirem i asunaprewirem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7418F8C9" w14:textId="34B7B674" w:rsidR="004226D9" w:rsidRPr="00717EF9" w:rsidRDefault="0037036E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oznaczenie stężenia albumin;</w:t>
            </w:r>
          </w:p>
          <w:p w14:paraId="7D0D19C6" w14:textId="77777777" w:rsidR="004226D9" w:rsidRPr="00717EF9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oznaczenie stężenia bilirubiny;</w:t>
            </w:r>
          </w:p>
          <w:p w14:paraId="7AA2AA5A" w14:textId="77777777" w:rsidR="004226D9" w:rsidRPr="00717EF9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czas lub wskaźnik protrombinowy;</w:t>
            </w:r>
          </w:p>
          <w:p w14:paraId="16F76BC2" w14:textId="77777777" w:rsidR="004226D9" w:rsidRPr="00717EF9" w:rsidRDefault="00B1697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oznaczenie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 xml:space="preserve"> poziomu kreatyniny;</w:t>
            </w:r>
          </w:p>
          <w:p w14:paraId="2CED9D63" w14:textId="54C16356" w:rsidR="004226D9" w:rsidRPr="00717EF9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oznaczenie przeciwciał anty-HIV</w:t>
            </w:r>
            <w:r w:rsidR="003A4FF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32BBA360" w14:textId="77777777" w:rsidR="004226D9" w:rsidRPr="00717EF9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oznaczenie antygenu HBs;</w:t>
            </w:r>
          </w:p>
          <w:p w14:paraId="63776D7E" w14:textId="77777777" w:rsidR="004226D9" w:rsidRPr="00717EF9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USG jamy brzusznej (jeśli nie było wykonywane w</w:t>
            </w:r>
            <w:r w:rsidR="005C7F87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okresie ostatnich 6 miesięcy);</w:t>
            </w:r>
          </w:p>
          <w:p w14:paraId="46C12DA2" w14:textId="722A183D" w:rsidR="004226D9" w:rsidRPr="0046790F" w:rsidRDefault="004226D9" w:rsidP="0046790F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badanie określające zaawansowanie włóknienia wątroby</w:t>
            </w:r>
            <w:r w:rsidR="005C7F87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- elastografia wątroby wykonana techniką umożliwiającą</w:t>
            </w:r>
            <w:r w:rsidR="005C7F87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pomiar ilościowy w kPa lub biopsja wątroby (jeśli nie</w:t>
            </w:r>
            <w:r w:rsidR="005C7F87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było wykonywane wcześniej);</w:t>
            </w:r>
          </w:p>
          <w:p w14:paraId="7C00757E" w14:textId="77777777" w:rsidR="00A5102F" w:rsidRDefault="004226D9" w:rsidP="009E2C03">
            <w:pPr>
              <w:pStyle w:val="Akapitzlist"/>
              <w:numPr>
                <w:ilvl w:val="0"/>
                <w:numId w:val="5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oznaczenie genotypu HCV (z podtypem w przypadku</w:t>
            </w:r>
            <w:r w:rsidR="005C7F87" w:rsidRPr="00717E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genotypu 1) - jeśli nie było wykonywane wcześniej</w:t>
            </w:r>
            <w:r w:rsidR="00A510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8A85437" w14:textId="77777777" w:rsidR="00517F20" w:rsidRDefault="001C243F" w:rsidP="00612C4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kwalifikacji</w:t>
            </w:r>
            <w:r w:rsidR="00A5102F">
              <w:rPr>
                <w:sz w:val="20"/>
                <w:szCs w:val="20"/>
              </w:rPr>
              <w:t xml:space="preserve"> do terapii sofosbuwirem w skojarzeniu z interferonem pegylowanym i rybawiryną </w:t>
            </w:r>
            <w:r>
              <w:rPr>
                <w:sz w:val="20"/>
                <w:szCs w:val="20"/>
              </w:rPr>
              <w:t>wykonuje się wyłącznie</w:t>
            </w:r>
            <w:r w:rsidR="00A5102F">
              <w:rPr>
                <w:sz w:val="20"/>
                <w:szCs w:val="20"/>
              </w:rPr>
              <w:t xml:space="preserve"> „</w:t>
            </w:r>
            <w:r w:rsidR="00F33D9B" w:rsidRPr="00F33D9B">
              <w:rPr>
                <w:bCs/>
                <w:sz w:val="20"/>
                <w:szCs w:val="20"/>
              </w:rPr>
              <w:t>Badania przy kwalifikacji do leczenia interferonami</w:t>
            </w:r>
            <w:r w:rsidR="00A5102F">
              <w:rPr>
                <w:sz w:val="20"/>
                <w:szCs w:val="20"/>
              </w:rPr>
              <w:t xml:space="preserve">” określone i finansowane w ramach programu lekowego </w:t>
            </w:r>
            <w:r w:rsidR="00A5102F" w:rsidRPr="00A5102F">
              <w:rPr>
                <w:bCs/>
                <w:sz w:val="20"/>
                <w:szCs w:val="20"/>
              </w:rPr>
              <w:t>„Leczenie przewlekłego wirusowego zapalenia wątroby typu C (ICD-10 B 18.2)" -</w:t>
            </w:r>
            <w:r w:rsidR="00C54EC7">
              <w:rPr>
                <w:bCs/>
                <w:sz w:val="20"/>
                <w:szCs w:val="20"/>
              </w:rPr>
              <w:t xml:space="preserve"> </w:t>
            </w:r>
            <w:r w:rsidR="00A5102F" w:rsidRPr="00A5102F">
              <w:rPr>
                <w:bCs/>
                <w:sz w:val="20"/>
                <w:szCs w:val="20"/>
              </w:rPr>
              <w:t>załącznik B.2 do obwieszczenia Ministra Zdrowia</w:t>
            </w:r>
            <w:r w:rsidR="00A5102F">
              <w:rPr>
                <w:bCs/>
                <w:sz w:val="20"/>
                <w:szCs w:val="20"/>
              </w:rPr>
              <w:t>.</w:t>
            </w:r>
          </w:p>
          <w:p w14:paraId="2CB39C1F" w14:textId="77777777" w:rsidR="00FD2978" w:rsidRPr="00717EF9" w:rsidRDefault="00777BFC" w:rsidP="00612C4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01791873" w14:textId="77777777" w:rsidR="004226D9" w:rsidRDefault="004226D9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/>
                <w:sz w:val="20"/>
                <w:szCs w:val="20"/>
              </w:rPr>
              <w:t>Monitorowanie leczenia:</w:t>
            </w:r>
          </w:p>
          <w:p w14:paraId="1DAB9652" w14:textId="77777777" w:rsidR="00B36FAE" w:rsidRDefault="00B36FAE" w:rsidP="00B36FAE">
            <w:pPr>
              <w:pStyle w:val="Akapitzlist"/>
              <w:widowControl w:val="0"/>
              <w:spacing w:after="0"/>
              <w:ind w:left="357" w:hanging="357"/>
              <w:rPr>
                <w:rFonts w:ascii="Times New Roman" w:hAnsi="Times New Roman" w:cstheme="majorBidi"/>
                <w:b/>
                <w:bCs/>
                <w:color w:val="4F81BD" w:themeColor="accent1"/>
                <w:spacing w:val="1"/>
                <w:sz w:val="20"/>
                <w:szCs w:val="20"/>
              </w:rPr>
            </w:pPr>
            <w:r w:rsidRPr="00651E1D"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2.1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. 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Monitorowanie terapii ombitaswirem, par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tapre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w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ir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e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m, r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y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tona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w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ir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e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w 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skojarze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niu z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dazabuwirem 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(i ewentualnie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rybawiryną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) albo </w:t>
            </w:r>
            <w:r w:rsidRPr="00866296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ombitaswirem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,</w:t>
            </w:r>
            <w:r w:rsidRPr="00866296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</w:t>
            </w:r>
            <w:r w:rsidRPr="001E2E25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parytaprewirem, rytonawirem w skojarzeniu z rybawiryną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, albo sofosbuwirem w skojarzeniu z rybawiryną,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:</w:t>
            </w:r>
          </w:p>
          <w:p w14:paraId="5AB29783" w14:textId="77777777" w:rsidR="00B36FAE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B82564">
              <w:rPr>
                <w:rFonts w:ascii="Times New Roman" w:hAnsi="Times New Roman"/>
                <w:spacing w:val="1"/>
                <w:sz w:val="20"/>
                <w:szCs w:val="20"/>
              </w:rPr>
              <w:t>w 1 dniu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, przed podaniem leków</w:t>
            </w:r>
            <w:r w:rsidRPr="00B82564">
              <w:rPr>
                <w:rFonts w:ascii="Times New Roman" w:hAnsi="Times New Roman"/>
                <w:spacing w:val="1"/>
                <w:sz w:val="20"/>
                <w:szCs w:val="20"/>
              </w:rPr>
              <w:t>:</w:t>
            </w:r>
          </w:p>
          <w:p w14:paraId="106B6C20" w14:textId="77777777" w:rsidR="00B36FAE" w:rsidRDefault="00B36FAE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B82564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041FB63C" w14:textId="22D72B59" w:rsidR="00B36FAE" w:rsidRDefault="001A6039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</w:t>
            </w:r>
            <w:r w:rsidR="00B36FAE" w:rsidRPr="005D1ADC">
              <w:rPr>
                <w:rFonts w:ascii="Times New Roman" w:hAnsi="Times New Roman"/>
                <w:spacing w:val="1"/>
                <w:sz w:val="20"/>
                <w:szCs w:val="20"/>
              </w:rPr>
              <w:t>T;</w:t>
            </w:r>
          </w:p>
          <w:p w14:paraId="4F9ECE86" w14:textId="6D2AEE98" w:rsidR="00B36FAE" w:rsidRDefault="00675622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oznacze</w:t>
            </w:r>
            <w:r w:rsidR="00B36FAE" w:rsidRPr="005D1ADC">
              <w:rPr>
                <w:rFonts w:ascii="Times New Roman" w:hAnsi="Times New Roman"/>
                <w:spacing w:val="1"/>
                <w:sz w:val="20"/>
                <w:szCs w:val="20"/>
              </w:rPr>
              <w:t>nie stężenia bilirubiny</w:t>
            </w:r>
            <w:r w:rsidR="00B36FAE">
              <w:rPr>
                <w:rFonts w:ascii="Times New Roman" w:hAnsi="Times New Roman"/>
                <w:spacing w:val="1"/>
                <w:sz w:val="20"/>
                <w:szCs w:val="20"/>
              </w:rPr>
              <w:t>;</w:t>
            </w:r>
          </w:p>
          <w:p w14:paraId="1A65C366" w14:textId="77777777" w:rsidR="00B36FAE" w:rsidRDefault="00B36FAE" w:rsidP="00B36FAE">
            <w:pPr>
              <w:pStyle w:val="Akapitzlist"/>
              <w:widowControl w:val="0"/>
              <w:numPr>
                <w:ilvl w:val="0"/>
                <w:numId w:val="20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próba ciążowa u kobiet w wieku rozrodczym;</w:t>
            </w:r>
          </w:p>
          <w:p w14:paraId="4D05D5ED" w14:textId="77777777" w:rsidR="00B36FAE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w 4, 8 tygodniu oraz (jeżeli dotyczy) w 12, 16 i 24 tygodniu</w:t>
            </w: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:</w:t>
            </w:r>
          </w:p>
          <w:p w14:paraId="73ECD5F0" w14:textId="77777777" w:rsidR="00B36FAE" w:rsidRDefault="00B36FAE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morfologia krwi;</w:t>
            </w:r>
          </w:p>
          <w:p w14:paraId="5FD84728" w14:textId="2110608A" w:rsidR="00B36FAE" w:rsidRDefault="001A6039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</w:t>
            </w:r>
            <w:r w:rsidR="00B36FAE" w:rsidRPr="005D1ADC">
              <w:rPr>
                <w:rFonts w:ascii="Times New Roman" w:hAnsi="Times New Roman"/>
                <w:spacing w:val="1"/>
                <w:sz w:val="20"/>
                <w:szCs w:val="20"/>
              </w:rPr>
              <w:t>T;</w:t>
            </w:r>
          </w:p>
          <w:p w14:paraId="072EA3D3" w14:textId="3EBB44E2" w:rsidR="00B36FAE" w:rsidRDefault="00675622" w:rsidP="00B36FAE">
            <w:pPr>
              <w:pStyle w:val="Akapitzlist"/>
              <w:widowControl w:val="0"/>
              <w:numPr>
                <w:ilvl w:val="0"/>
                <w:numId w:val="21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oznacze</w:t>
            </w:r>
            <w:r w:rsidR="00B36FAE" w:rsidRPr="005D1AD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nie stężenia bilirubiny (w 4 tygodniu terapii) – w przypadku występowania zwiększonego stężenia w 4 tygodniu terapii, wskazane jest powtórzyć oznaczenia </w:t>
            </w:r>
            <w:r w:rsidR="00B36FAE" w:rsidRPr="005D1ADC">
              <w:rPr>
                <w:rFonts w:ascii="Times New Roman" w:hAnsi="Times New Roman"/>
                <w:spacing w:val="1"/>
                <w:sz w:val="20"/>
                <w:szCs w:val="20"/>
              </w:rPr>
              <w:lastRenderedPageBreak/>
              <w:t xml:space="preserve">odpowiednio w 8 </w:t>
            </w:r>
            <w:r w:rsidR="00B36FA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tygodniu </w:t>
            </w:r>
            <w:r w:rsidR="00B36FAE" w:rsidRPr="005D1ADC">
              <w:rPr>
                <w:rFonts w:ascii="Times New Roman" w:hAnsi="Times New Roman"/>
                <w:spacing w:val="1"/>
                <w:sz w:val="20"/>
                <w:szCs w:val="20"/>
              </w:rPr>
              <w:t>oraz</w:t>
            </w:r>
            <w:r w:rsidR="00B36FA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(jeżeli dotyczy) w 12,</w:t>
            </w:r>
            <w:r w:rsidR="00B36FAE" w:rsidRPr="005D1AD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B36FAE" w:rsidRPr="0082336B">
              <w:rPr>
                <w:rFonts w:ascii="Times New Roman" w:hAnsi="Times New Roman"/>
                <w:spacing w:val="1"/>
                <w:sz w:val="20"/>
                <w:szCs w:val="20"/>
              </w:rPr>
              <w:t>16 i 24</w:t>
            </w:r>
            <w:r w:rsidR="00B36FA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tygodniu;</w:t>
            </w:r>
          </w:p>
          <w:p w14:paraId="234F8469" w14:textId="77777777" w:rsidR="00B36FAE" w:rsidRDefault="00B36FAE" w:rsidP="00B36FAE">
            <w:pPr>
              <w:pStyle w:val="Akapitzlist"/>
              <w:widowControl w:val="0"/>
              <w:numPr>
                <w:ilvl w:val="0"/>
                <w:numId w:val="19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w ostatnim dniu leczenia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(w 8, 12 albo 24 tygodniu terapii)</w:t>
            </w: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:</w:t>
            </w:r>
          </w:p>
          <w:p w14:paraId="3C9770CF" w14:textId="69570059" w:rsidR="00B36FAE" w:rsidRDefault="00B36FAE" w:rsidP="00B36FAE">
            <w:pPr>
              <w:pStyle w:val="Akapitzlist"/>
              <w:widowControl w:val="0"/>
              <w:numPr>
                <w:ilvl w:val="0"/>
                <w:numId w:val="22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oznaczenie HCV RNA metodą jakościową</w:t>
            </w:r>
            <w:r w:rsidR="0038490E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lub ilościową</w:t>
            </w: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;</w:t>
            </w:r>
          </w:p>
          <w:p w14:paraId="18CF85AD" w14:textId="77777777" w:rsidR="00B36FAE" w:rsidRDefault="00B36FAE" w:rsidP="00B36FAE">
            <w:pPr>
              <w:pStyle w:val="Akapitzlist"/>
              <w:widowControl w:val="0"/>
              <w:numPr>
                <w:ilvl w:val="0"/>
                <w:numId w:val="22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USG jamy brzusznej</w:t>
            </w:r>
            <w:r w:rsidRPr="00B82564">
              <w:rPr>
                <w:rFonts w:ascii="Times New Roman" w:hAnsi="Times New Roman"/>
                <w:spacing w:val="1"/>
                <w:sz w:val="20"/>
                <w:szCs w:val="20"/>
              </w:rPr>
              <w:t>;</w:t>
            </w:r>
          </w:p>
          <w:p w14:paraId="6C47F478" w14:textId="72E57684" w:rsidR="00B36FAE" w:rsidRPr="00E62CB6" w:rsidRDefault="00B36FAE" w:rsidP="00B36FAE">
            <w:pPr>
              <w:pStyle w:val="Akapitzlist"/>
              <w:numPr>
                <w:ilvl w:val="0"/>
                <w:numId w:val="1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B3148C">
              <w:rPr>
                <w:rFonts w:ascii="Times New Roman" w:hAnsi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7C53C5">
              <w:rPr>
                <w:rFonts w:ascii="Times New Roman" w:hAnsi="Times New Roman"/>
                <w:spacing w:val="1"/>
                <w:sz w:val="20"/>
                <w:szCs w:val="20"/>
              </w:rPr>
              <w:t>12</w:t>
            </w:r>
            <w:r w:rsidRPr="00E62CB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tygodniach od zakończenia leczenia (w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="007C53C5">
              <w:rPr>
                <w:rFonts w:ascii="Times New Roman" w:hAnsi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, </w:t>
            </w:r>
            <w:r w:rsidR="007C53C5">
              <w:rPr>
                <w:rFonts w:ascii="Times New Roman" w:hAnsi="Times New Roman"/>
                <w:spacing w:val="1"/>
                <w:sz w:val="20"/>
                <w:szCs w:val="20"/>
              </w:rPr>
              <w:t>24</w:t>
            </w:r>
            <w:r w:rsidRPr="00E62CB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albo </w:t>
            </w:r>
            <w:r w:rsidR="007C53C5">
              <w:rPr>
                <w:rFonts w:ascii="Times New Roman" w:hAnsi="Times New Roman"/>
                <w:spacing w:val="1"/>
                <w:sz w:val="20"/>
                <w:szCs w:val="20"/>
              </w:rPr>
              <w:t>36</w:t>
            </w:r>
            <w:r w:rsidRPr="00E62CB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tygodniu terapii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)</w:t>
            </w:r>
            <w:r w:rsidRPr="00E62CB6">
              <w:rPr>
                <w:rFonts w:ascii="Times New Roman" w:hAnsi="Times New Roman"/>
                <w:spacing w:val="1"/>
                <w:sz w:val="20"/>
                <w:szCs w:val="20"/>
              </w:rPr>
              <w:t>:</w:t>
            </w:r>
          </w:p>
          <w:p w14:paraId="1F7A8965" w14:textId="77777777" w:rsidR="00B36FAE" w:rsidRPr="00E62CB6" w:rsidRDefault="00B36FAE" w:rsidP="00B36FA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E62CB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oznaczenie HCV RNA metodą jakościową.</w:t>
            </w:r>
          </w:p>
          <w:p w14:paraId="3AF5AD73" w14:textId="39D89BA9" w:rsidR="00F33D9B" w:rsidRDefault="009023E7" w:rsidP="00F33D9B">
            <w:pPr>
              <w:pStyle w:val="Akapitzlist"/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E62CB6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>2.2</w:t>
            </w:r>
            <w:r w:rsidRPr="00E62CB6">
              <w:rPr>
                <w:rFonts w:ascii="Times New Roman" w:hAnsi="Times New Roman"/>
                <w:spacing w:val="1"/>
                <w:sz w:val="20"/>
                <w:szCs w:val="20"/>
              </w:rPr>
              <w:t xml:space="preserve">. </w:t>
            </w:r>
            <w:r w:rsidRPr="00E62CB6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Monitorowanie</w:t>
            </w:r>
            <w:r w:rsidRPr="000D026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terapii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</w:t>
            </w:r>
            <w:r w:rsidR="004F0615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sofosbuwirem w skojarzeniu z ledipaswirem</w:t>
            </w:r>
            <w:r w:rsidR="00597BE8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lub welpataswirem</w:t>
            </w:r>
            <w:r w:rsidR="004F0615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(i ewentualnie rybawiryną):</w:t>
            </w:r>
            <w:r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 xml:space="preserve"> </w:t>
            </w:r>
          </w:p>
          <w:p w14:paraId="7E0BF2BC" w14:textId="77777777" w:rsidR="004226D9" w:rsidRPr="00717EF9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w 1 dniu, przed podaniem leków:</w:t>
            </w:r>
          </w:p>
          <w:p w14:paraId="2B6C0DF5" w14:textId="77777777" w:rsidR="004226D9" w:rsidRPr="00717EF9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B604CFD" w14:textId="189C4161" w:rsidR="004226D9" w:rsidRPr="00717EF9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oznaczenie aktywności </w:t>
            </w:r>
            <w:r w:rsidR="001A6039">
              <w:rPr>
                <w:rFonts w:ascii="Times New Roman" w:hAnsi="Times New Roman"/>
                <w:sz w:val="20"/>
                <w:szCs w:val="20"/>
              </w:rPr>
              <w:t>Al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AT;</w:t>
            </w:r>
          </w:p>
          <w:p w14:paraId="68766FB5" w14:textId="25C40E6D" w:rsidR="004226D9" w:rsidRPr="00717EF9" w:rsidRDefault="00675622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oznacze</w:t>
            </w:r>
            <w:r w:rsidR="00706419">
              <w:rPr>
                <w:rFonts w:ascii="Times New Roman" w:hAnsi="Times New Roman"/>
                <w:sz w:val="20"/>
                <w:szCs w:val="20"/>
              </w:rPr>
              <w:t>nie stężenia bilirubiny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2A85EE1" w14:textId="3D068403" w:rsidR="004226D9" w:rsidRPr="00717EF9" w:rsidRDefault="004226D9" w:rsidP="009E2C03">
            <w:pPr>
              <w:pStyle w:val="Akapitzlist"/>
              <w:numPr>
                <w:ilvl w:val="0"/>
                <w:numId w:val="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próba ciążowa u kobiet w wieku rozrodczym;</w:t>
            </w:r>
          </w:p>
          <w:p w14:paraId="304C9556" w14:textId="77777777" w:rsidR="004226D9" w:rsidRPr="00717EF9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 xml:space="preserve">w 4, 8, tygodniu oraz </w:t>
            </w:r>
            <w:r w:rsidR="00651E1D">
              <w:rPr>
                <w:rFonts w:ascii="Times New Roman" w:hAnsi="Times New Roman"/>
                <w:sz w:val="20"/>
                <w:szCs w:val="20"/>
              </w:rPr>
              <w:t>(</w:t>
            </w:r>
            <w:r w:rsidR="005C7F87" w:rsidRPr="00717EF9">
              <w:rPr>
                <w:rFonts w:ascii="Times New Roman" w:hAnsi="Times New Roman"/>
                <w:sz w:val="20"/>
                <w:szCs w:val="20"/>
              </w:rPr>
              <w:t>j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>eżeli dotyczy</w:t>
            </w:r>
            <w:r w:rsidR="00651E1D">
              <w:rPr>
                <w:rFonts w:ascii="Times New Roman" w:hAnsi="Times New Roman"/>
                <w:sz w:val="20"/>
                <w:szCs w:val="20"/>
              </w:rPr>
              <w:t>)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 w</w:t>
            </w:r>
            <w:r w:rsidR="004F0615">
              <w:rPr>
                <w:rFonts w:ascii="Times New Roman" w:hAnsi="Times New Roman"/>
                <w:sz w:val="20"/>
                <w:szCs w:val="20"/>
              </w:rPr>
              <w:t xml:space="preserve"> 12,</w:t>
            </w:r>
            <w:r w:rsidRPr="00717EF9">
              <w:rPr>
                <w:rFonts w:ascii="Times New Roman" w:hAnsi="Times New Roman"/>
                <w:sz w:val="20"/>
                <w:szCs w:val="20"/>
              </w:rPr>
              <w:t xml:space="preserve"> 16 i 24 tygodniu:</w:t>
            </w:r>
          </w:p>
          <w:p w14:paraId="0509D58B" w14:textId="77777777" w:rsidR="004226D9" w:rsidRPr="00717EF9" w:rsidRDefault="004226D9" w:rsidP="009E2C03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morfologia krwi;</w:t>
            </w:r>
          </w:p>
          <w:p w14:paraId="6551EC0B" w14:textId="2EDA398C" w:rsidR="004226D9" w:rsidRPr="00717EF9" w:rsidRDefault="001A6039" w:rsidP="009E2C03">
            <w:pPr>
              <w:pStyle w:val="Akapitzlist"/>
              <w:numPr>
                <w:ilvl w:val="0"/>
                <w:numId w:val="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oznaczenie aktywności Al</w:t>
            </w:r>
            <w:r w:rsidR="004226D9" w:rsidRPr="00717EF9">
              <w:rPr>
                <w:rFonts w:ascii="Times New Roman" w:hAnsi="Times New Roman"/>
                <w:sz w:val="20"/>
                <w:szCs w:val="20"/>
              </w:rPr>
              <w:t>AT;</w:t>
            </w:r>
          </w:p>
          <w:p w14:paraId="73134B06" w14:textId="77777777" w:rsidR="005974CD" w:rsidRDefault="005974CD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 4 tygodniu</w:t>
            </w:r>
          </w:p>
          <w:p w14:paraId="46322648" w14:textId="6E7CE715" w:rsidR="005974CD" w:rsidRDefault="005974CD" w:rsidP="0046790F">
            <w:pPr>
              <w:pStyle w:val="Akapitzlist"/>
              <w:numPr>
                <w:ilvl w:val="0"/>
                <w:numId w:val="37"/>
              </w:numPr>
              <w:spacing w:after="0"/>
              <w:ind w:left="814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oznaczenie stężenia bilirubiny – w przypadku występowania zwiększonego stężenia w 4 tygodniu terapii</w:t>
            </w:r>
            <w:r w:rsidR="003E561E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powtórzyć oznacz</w:t>
            </w:r>
            <w:r w:rsidR="003E561E">
              <w:rPr>
                <w:rFonts w:ascii="Times New Roman" w:hAnsi="Times New Roman"/>
                <w:sz w:val="20"/>
                <w:szCs w:val="20"/>
              </w:rPr>
              <w:t>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8 tyg. oraz jeżeli dotyczy w 12,16 i 24 tyg.</w:t>
            </w:r>
          </w:p>
          <w:p w14:paraId="35D47632" w14:textId="77777777" w:rsidR="00CC1C5D" w:rsidRDefault="004226D9" w:rsidP="009E2C03">
            <w:pPr>
              <w:pStyle w:val="Akapitzlist"/>
              <w:numPr>
                <w:ilvl w:val="0"/>
                <w:numId w:val="6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na zakończenie lecze</w:t>
            </w:r>
            <w:r w:rsidR="00CD7C22" w:rsidRPr="00717EF9">
              <w:rPr>
                <w:rFonts w:ascii="Times New Roman" w:hAnsi="Times New Roman"/>
                <w:sz w:val="20"/>
                <w:szCs w:val="20"/>
              </w:rPr>
              <w:t>nia</w:t>
            </w:r>
            <w:r w:rsidR="00CC1C5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D7C22" w:rsidRPr="00717EF9">
              <w:rPr>
                <w:rFonts w:ascii="Times New Roman" w:hAnsi="Times New Roman"/>
                <w:sz w:val="20"/>
                <w:szCs w:val="20"/>
              </w:rPr>
              <w:t>w 8, 12 lub 24 tygodniu</w:t>
            </w:r>
            <w:r w:rsidR="00CC1C5D">
              <w:rPr>
                <w:rFonts w:ascii="Times New Roman" w:hAnsi="Times New Roman"/>
                <w:sz w:val="20"/>
                <w:szCs w:val="20"/>
              </w:rPr>
              <w:t xml:space="preserve"> terapii): </w:t>
            </w:r>
          </w:p>
          <w:p w14:paraId="50522F1C" w14:textId="0EBC027B" w:rsidR="004226D9" w:rsidRDefault="004226D9" w:rsidP="00CC1C5D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oznaczenie HCV RNA metodą ja</w:t>
            </w:r>
            <w:r w:rsidR="00CC1C5D">
              <w:rPr>
                <w:rFonts w:ascii="Times New Roman" w:hAnsi="Times New Roman"/>
                <w:sz w:val="20"/>
                <w:szCs w:val="20"/>
              </w:rPr>
              <w:t>kościową lub ilościową,</w:t>
            </w:r>
          </w:p>
          <w:p w14:paraId="5DB7ED64" w14:textId="4B94D0EB" w:rsidR="00CC1C5D" w:rsidRPr="00717EF9" w:rsidRDefault="00CC1C5D" w:rsidP="00CC1C5D">
            <w:pPr>
              <w:pStyle w:val="Akapitzlist"/>
              <w:numPr>
                <w:ilvl w:val="0"/>
                <w:numId w:val="35"/>
              </w:numPr>
              <w:spacing w:after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USG jamy brzusznej;</w:t>
            </w:r>
          </w:p>
          <w:p w14:paraId="7BE636AF" w14:textId="6A17E166" w:rsidR="004226D9" w:rsidRPr="009438AD" w:rsidRDefault="00706419" w:rsidP="00404D79">
            <w:pPr>
              <w:pStyle w:val="Akapitzlist"/>
              <w:numPr>
                <w:ilvl w:val="0"/>
                <w:numId w:val="6"/>
              </w:numPr>
              <w:ind w:left="356"/>
              <w:rPr>
                <w:rFonts w:ascii="Times New Roman" w:hAnsi="Times New Roman"/>
                <w:sz w:val="20"/>
                <w:szCs w:val="20"/>
              </w:rPr>
            </w:pPr>
            <w:r w:rsidRPr="009438AD">
              <w:rPr>
                <w:rFonts w:ascii="Times New Roman" w:hAnsi="Times New Roman"/>
                <w:sz w:val="20"/>
                <w:szCs w:val="20"/>
              </w:rPr>
              <w:t>po 12</w:t>
            </w:r>
            <w:r w:rsidR="004226D9" w:rsidRPr="009438AD">
              <w:rPr>
                <w:rFonts w:ascii="Times New Roman" w:hAnsi="Times New Roman"/>
                <w:sz w:val="20"/>
                <w:szCs w:val="20"/>
              </w:rPr>
              <w:t xml:space="preserve"> tygo</w:t>
            </w:r>
            <w:r w:rsidRPr="009438AD">
              <w:rPr>
                <w:rFonts w:ascii="Times New Roman" w:hAnsi="Times New Roman"/>
                <w:sz w:val="20"/>
                <w:szCs w:val="20"/>
              </w:rPr>
              <w:t xml:space="preserve">dniach od zakończenia leczenia (w 20, 24 lub 36 tygodniu terapii) </w:t>
            </w:r>
            <w:r w:rsidR="00CD7C22" w:rsidRPr="009438AD">
              <w:rPr>
                <w:rFonts w:ascii="Times New Roman" w:hAnsi="Times New Roman"/>
                <w:sz w:val="20"/>
                <w:szCs w:val="20"/>
              </w:rPr>
              <w:t xml:space="preserve">wykonać </w:t>
            </w:r>
            <w:r w:rsidR="004226D9" w:rsidRPr="009438AD">
              <w:rPr>
                <w:rFonts w:ascii="Times New Roman" w:hAnsi="Times New Roman"/>
                <w:sz w:val="20"/>
                <w:szCs w:val="20"/>
              </w:rPr>
              <w:t xml:space="preserve">oznaczenie HCV RNA metodą jakościową </w:t>
            </w:r>
            <w:r w:rsidR="00FD2978" w:rsidRPr="009438AD">
              <w:rPr>
                <w:rFonts w:ascii="Times New Roman" w:hAnsi="Times New Roman"/>
                <w:sz w:val="20"/>
                <w:szCs w:val="20"/>
              </w:rPr>
              <w:t>oraz ewentualnie</w:t>
            </w:r>
            <w:r w:rsidR="004226D9" w:rsidRPr="009438AD">
              <w:rPr>
                <w:rFonts w:ascii="Times New Roman" w:hAnsi="Times New Roman"/>
                <w:sz w:val="20"/>
                <w:szCs w:val="20"/>
              </w:rPr>
              <w:t xml:space="preserve"> USG jamy brzusznej</w:t>
            </w:r>
            <w:r w:rsidR="009438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9CCDEE5" w14:textId="77777777" w:rsidR="004F0615" w:rsidRDefault="004F0615" w:rsidP="009E2C03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Monitorowanie terapii daklataswirem w skojarzeniu z asunaprewirem:</w:t>
            </w:r>
          </w:p>
          <w:p w14:paraId="538FD2D4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w 1 dniu przed podaniem leków:</w:t>
            </w:r>
          </w:p>
          <w:p w14:paraId="4F97EE79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5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morfologia krwi;</w:t>
            </w:r>
          </w:p>
          <w:p w14:paraId="12A48189" w14:textId="66B77C52" w:rsidR="004F0615" w:rsidRPr="000D0268" w:rsidRDefault="001A6039" w:rsidP="009E2C03">
            <w:pPr>
              <w:pStyle w:val="Akapitzlist"/>
              <w:widowControl w:val="0"/>
              <w:numPr>
                <w:ilvl w:val="0"/>
                <w:numId w:val="25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oznaczenie wartości Al</w:t>
            </w:r>
            <w:r w:rsidR="004F0615" w:rsidRPr="000D0268">
              <w:rPr>
                <w:rFonts w:ascii="Times New Roman" w:hAnsi="Times New Roman"/>
                <w:spacing w:val="-1"/>
                <w:sz w:val="20"/>
                <w:szCs w:val="20"/>
              </w:rPr>
              <w:t>AT i AspAT;</w:t>
            </w:r>
          </w:p>
          <w:p w14:paraId="4C0A159F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5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próba ciążowa u kobiet w wieku rozrodczym;</w:t>
            </w:r>
          </w:p>
          <w:p w14:paraId="39EC5F16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w 2, 4, 6, 8,10, 12,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oraz (jeżeli dotyczy) w </w:t>
            </w: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16, 20, 24 tygodniu:</w:t>
            </w:r>
          </w:p>
          <w:p w14:paraId="3C089F2B" w14:textId="51B5A6E6" w:rsidR="004F0615" w:rsidRPr="000D0268" w:rsidRDefault="001A6039" w:rsidP="009E2C03">
            <w:pPr>
              <w:pStyle w:val="Akapitzlist"/>
              <w:widowControl w:val="0"/>
              <w:numPr>
                <w:ilvl w:val="0"/>
                <w:numId w:val="26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oznaczenie wartości Al</w:t>
            </w:r>
            <w:r w:rsidR="004F0615" w:rsidRPr="000D0268">
              <w:rPr>
                <w:rFonts w:ascii="Times New Roman" w:hAnsi="Times New Roman"/>
                <w:spacing w:val="-1"/>
                <w:sz w:val="20"/>
                <w:szCs w:val="20"/>
              </w:rPr>
              <w:t>AT i AspAT;</w:t>
            </w:r>
          </w:p>
          <w:p w14:paraId="31CEF5BC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6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morfologia krwi; </w:t>
            </w:r>
          </w:p>
          <w:p w14:paraId="6BB60137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w 4 tygodniu:</w:t>
            </w:r>
          </w:p>
          <w:p w14:paraId="4059859B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7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oznaczenie HCV RNA  metodą </w:t>
            </w:r>
            <w:r w:rsidR="00521693" w:rsidRPr="00521693">
              <w:rPr>
                <w:rFonts w:ascii="Times New Roman" w:hAnsi="Times New Roman"/>
                <w:spacing w:val="-1"/>
                <w:sz w:val="20"/>
                <w:szCs w:val="20"/>
              </w:rPr>
              <w:t>jakościową, a w przypadku wykrywalnej wiremii - dodatkowo metodą ilościową</w:t>
            </w: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;</w:t>
            </w:r>
          </w:p>
          <w:p w14:paraId="45675111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w 12 tygodniu:</w:t>
            </w:r>
          </w:p>
          <w:p w14:paraId="279DD723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oznaczenie aktywności GGTP;</w:t>
            </w:r>
          </w:p>
          <w:p w14:paraId="6D532B02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proteinogram;</w:t>
            </w:r>
          </w:p>
          <w:p w14:paraId="2AA5EF01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8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oznaczenie HCV RNA  metodą </w:t>
            </w:r>
            <w:r w:rsidR="00521693" w:rsidRPr="00521693">
              <w:rPr>
                <w:rFonts w:ascii="Times New Roman" w:hAnsi="Times New Roman"/>
                <w:spacing w:val="-1"/>
                <w:sz w:val="20"/>
                <w:szCs w:val="20"/>
              </w:rPr>
              <w:t>jakościową, a w przypadku wykrywalnej wiremii - dodatkowo metodą ilościową</w:t>
            </w: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;</w:t>
            </w:r>
          </w:p>
          <w:p w14:paraId="3ACEB5D5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w 24 tygodniu:</w:t>
            </w:r>
          </w:p>
          <w:p w14:paraId="27227643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9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oznaczenie HCV RNA metodą ilościową lub jakościową;</w:t>
            </w:r>
          </w:p>
          <w:p w14:paraId="701F9F8F" w14:textId="7777777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29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USG jamy brzusznej;</w:t>
            </w:r>
          </w:p>
          <w:p w14:paraId="08392C23" w14:textId="7863A589" w:rsidR="004F0615" w:rsidRPr="000D0268" w:rsidRDefault="00675622" w:rsidP="009E2C03">
            <w:pPr>
              <w:pStyle w:val="Akapitzlist"/>
              <w:widowControl w:val="0"/>
              <w:numPr>
                <w:ilvl w:val="0"/>
                <w:numId w:val="2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lastRenderedPageBreak/>
              <w:t>po 12</w:t>
            </w:r>
            <w:r w:rsidR="004F0615" w:rsidRPr="000D026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tygodniach od zakończenia leczenia:</w:t>
            </w:r>
          </w:p>
          <w:p w14:paraId="145EDF82" w14:textId="21D274C7" w:rsidR="004F0615" w:rsidRPr="000D0268" w:rsidRDefault="004F0615" w:rsidP="009E2C03">
            <w:pPr>
              <w:pStyle w:val="Akapitzlist"/>
              <w:widowControl w:val="0"/>
              <w:numPr>
                <w:ilvl w:val="0"/>
                <w:numId w:val="30"/>
              </w:numPr>
              <w:spacing w:after="0"/>
              <w:ind w:left="714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0D0268">
              <w:rPr>
                <w:rFonts w:ascii="Times New Roman" w:hAnsi="Times New Roman"/>
                <w:spacing w:val="-1"/>
                <w:sz w:val="20"/>
                <w:szCs w:val="20"/>
              </w:rPr>
              <w:t>oznaczenie HCV RNA metodą jakościową.</w:t>
            </w:r>
          </w:p>
          <w:p w14:paraId="16B138D3" w14:textId="77777777" w:rsidR="00DE248E" w:rsidRDefault="006C1B22" w:rsidP="009E2C03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54EC7">
              <w:rPr>
                <w:rFonts w:ascii="Times New Roman" w:hAnsi="Times New Roman"/>
                <w:spacing w:val="-1"/>
                <w:sz w:val="20"/>
                <w:szCs w:val="20"/>
              </w:rPr>
              <w:t>Monitorowanie terapii sofosbuwirem w skojarzeniu z interferonem pegylowanym i rybawiryną polega na monitorowaniu terapii interferonowej opisanej i finansowanej w ramach programu  „Leczenie przewlekłego wirusowego zapalenia wątroby typu C (ICD-10 B 18.2)" -</w:t>
            </w:r>
            <w:r w:rsidR="00E62CB6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C54EC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załącznik B.2 do obwieszczenia Ministra Zdrowia </w:t>
            </w:r>
            <w:r w:rsidR="00F4010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z uwzględnieniem </w:t>
            </w:r>
            <w:r w:rsidRPr="00C54EC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czasu </w:t>
            </w:r>
            <w:r w:rsidR="00F40101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w/w terapii </w:t>
            </w:r>
            <w:r w:rsidRPr="00C54EC7">
              <w:rPr>
                <w:rFonts w:ascii="Times New Roman" w:hAnsi="Times New Roman"/>
                <w:spacing w:val="-1"/>
                <w:sz w:val="20"/>
                <w:szCs w:val="20"/>
              </w:rPr>
              <w:t>określony</w:t>
            </w:r>
            <w:r w:rsidR="00F40101"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 w:rsidRPr="00C54EC7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w </w:t>
            </w:r>
            <w:r w:rsidR="00F40101" w:rsidRPr="00F40101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Charakterystyce Produktu Leczniczego zawierającego sofosbuwir</w:t>
            </w:r>
            <w:r w:rsidRPr="00C54EC7">
              <w:rPr>
                <w:rFonts w:ascii="Times New Roman" w:hAnsi="Times New Roman"/>
                <w:spacing w:val="-1"/>
                <w:sz w:val="20"/>
                <w:szCs w:val="20"/>
              </w:rPr>
              <w:t>.</w:t>
            </w:r>
          </w:p>
          <w:p w14:paraId="27DDABC7" w14:textId="77777777" w:rsidR="002C4E34" w:rsidRPr="002C4E34" w:rsidRDefault="00DE248E" w:rsidP="009E2C03">
            <w:pPr>
              <w:pStyle w:val="Akapitzlist"/>
              <w:numPr>
                <w:ilvl w:val="1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DE248E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Monitorowanie </w:t>
            </w:r>
            <w:r w:rsidRPr="00DE248E">
              <w:rPr>
                <w:rFonts w:ascii="Times New Roman" w:hAnsi="Times New Roman"/>
                <w:bCs/>
                <w:spacing w:val="1"/>
                <w:sz w:val="20"/>
                <w:szCs w:val="20"/>
              </w:rPr>
              <w:t>terapii grazoprewirem+elbaswirem (i ewentualnie rybawiryną):</w:t>
            </w:r>
          </w:p>
          <w:p w14:paraId="7E13C2D0" w14:textId="77777777" w:rsidR="00DE248E" w:rsidRPr="002C4E34" w:rsidRDefault="00DE248E" w:rsidP="009E2C03">
            <w:pPr>
              <w:pStyle w:val="Akapitzlist"/>
              <w:numPr>
                <w:ilvl w:val="0"/>
                <w:numId w:val="31"/>
              </w:numPr>
              <w:spacing w:after="0"/>
              <w:ind w:left="356"/>
              <w:contextualSpacing w:val="0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2C4E34">
              <w:rPr>
                <w:rFonts w:ascii="Times New Roman" w:hAnsi="Times New Roman"/>
                <w:spacing w:val="1"/>
                <w:sz w:val="20"/>
                <w:szCs w:val="20"/>
              </w:rPr>
              <w:t>w 1 dniu, przed podaniem leków:</w:t>
            </w:r>
          </w:p>
          <w:p w14:paraId="57259761" w14:textId="7A6103A1" w:rsidR="00DE248E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B82564">
              <w:rPr>
                <w:rFonts w:ascii="Times New Roman" w:hAnsi="Times New Roman"/>
                <w:spacing w:val="1"/>
                <w:sz w:val="20"/>
                <w:szCs w:val="20"/>
              </w:rPr>
              <w:t xml:space="preserve">morfologia </w:t>
            </w:r>
            <w:r w:rsidR="00675622">
              <w:rPr>
                <w:rFonts w:ascii="Times New Roman" w:hAnsi="Times New Roman"/>
                <w:spacing w:val="1"/>
                <w:sz w:val="20"/>
                <w:szCs w:val="20"/>
              </w:rPr>
              <w:t>krwi;</w:t>
            </w:r>
          </w:p>
          <w:p w14:paraId="582D3AC8" w14:textId="77777777" w:rsidR="00DE248E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oznaczenie akty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wności AlA</w:t>
            </w: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T;</w:t>
            </w:r>
          </w:p>
          <w:p w14:paraId="0AF6EAA6" w14:textId="3D94AB49" w:rsidR="00675622" w:rsidRDefault="00675622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bilirubiny;</w:t>
            </w:r>
          </w:p>
          <w:p w14:paraId="5A34DCA0" w14:textId="77777777" w:rsidR="00DE248E" w:rsidRDefault="00DE248E" w:rsidP="009E2C03">
            <w:pPr>
              <w:pStyle w:val="Akapitzlist"/>
              <w:widowControl w:val="0"/>
              <w:numPr>
                <w:ilvl w:val="0"/>
                <w:numId w:val="32"/>
              </w:numPr>
              <w:spacing w:before="1"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próba ciążowa u kobiet w wieku rozrodczym;</w:t>
            </w:r>
          </w:p>
          <w:p w14:paraId="3900DB63" w14:textId="77777777" w:rsidR="00DE248E" w:rsidRDefault="00DE248E" w:rsidP="009E2C03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6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4, 8, 12 tygodniu (oraz 16 </w:t>
            </w: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 xml:space="preserve">tygodniu - w przypadku terapii trwającej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16 tygodni</w:t>
            </w: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):</w:t>
            </w:r>
          </w:p>
          <w:p w14:paraId="70ED4911" w14:textId="049BFF01" w:rsidR="00DE248E" w:rsidRDefault="00DE248E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morfologia krwi</w:t>
            </w:r>
            <w:r w:rsidR="00675622">
              <w:rPr>
                <w:rFonts w:ascii="Times New Roman" w:hAnsi="Times New Roman"/>
                <w:spacing w:val="1"/>
                <w:sz w:val="20"/>
                <w:szCs w:val="20"/>
              </w:rPr>
              <w:t>;</w:t>
            </w:r>
          </w:p>
          <w:p w14:paraId="5A1904CA" w14:textId="77777777" w:rsidR="00DE248E" w:rsidRDefault="00DE248E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oznaczenie aktywności AlA</w:t>
            </w:r>
            <w:r w:rsidRPr="005D1ADC">
              <w:rPr>
                <w:rFonts w:ascii="Times New Roman" w:hAnsi="Times New Roman"/>
                <w:spacing w:val="1"/>
                <w:sz w:val="20"/>
                <w:szCs w:val="20"/>
              </w:rPr>
              <w:t>T;</w:t>
            </w:r>
          </w:p>
          <w:p w14:paraId="4A5DAFC6" w14:textId="072D17CC" w:rsidR="00675622" w:rsidRDefault="00675622" w:rsidP="009E2C03">
            <w:pPr>
              <w:pStyle w:val="Akapitzlist"/>
              <w:widowControl w:val="0"/>
              <w:numPr>
                <w:ilvl w:val="0"/>
                <w:numId w:val="34"/>
              </w:numPr>
              <w:spacing w:after="0"/>
              <w:ind w:left="714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oznaczenie stężenia bilirubiny;</w:t>
            </w:r>
          </w:p>
          <w:p w14:paraId="2D456956" w14:textId="77777777" w:rsidR="00CC1C5D" w:rsidRDefault="00DE248E" w:rsidP="009E2C03">
            <w:pPr>
              <w:pStyle w:val="Akapitzlist"/>
              <w:widowControl w:val="0"/>
              <w:numPr>
                <w:ilvl w:val="0"/>
                <w:numId w:val="33"/>
              </w:numPr>
              <w:spacing w:before="1" w:after="0"/>
              <w:ind w:left="357" w:hanging="357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na zakończenie leczenia</w:t>
            </w:r>
            <w:r w:rsidR="00CC1C5D">
              <w:rPr>
                <w:rFonts w:ascii="Times New Roman" w:hAnsi="Times New Roman"/>
                <w:spacing w:val="1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</w:p>
          <w:p w14:paraId="0CD99DB7" w14:textId="6760C77E" w:rsidR="00DE248E" w:rsidRDefault="00DE248E" w:rsidP="00CC1C5D">
            <w:pPr>
              <w:pStyle w:val="Akapitzlist"/>
              <w:widowControl w:val="0"/>
              <w:numPr>
                <w:ilvl w:val="0"/>
                <w:numId w:val="36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oznaczenie HCV RNA </w:t>
            </w:r>
            <w:r w:rsidR="00CC1C5D">
              <w:rPr>
                <w:rFonts w:ascii="Times New Roman" w:hAnsi="Times New Roman"/>
                <w:spacing w:val="1"/>
                <w:sz w:val="20"/>
                <w:szCs w:val="20"/>
              </w:rPr>
              <w:t>metodą jakościową lub ilościową,</w:t>
            </w:r>
          </w:p>
          <w:p w14:paraId="06D212D4" w14:textId="76961352" w:rsidR="00CC1C5D" w:rsidRDefault="00CC1C5D" w:rsidP="00CC1C5D">
            <w:pPr>
              <w:pStyle w:val="Akapitzlist"/>
              <w:widowControl w:val="0"/>
              <w:numPr>
                <w:ilvl w:val="0"/>
                <w:numId w:val="36"/>
              </w:numPr>
              <w:spacing w:before="1" w:after="0"/>
              <w:rPr>
                <w:rFonts w:ascii="Times New Roman" w:hAnsi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USG jamy brzusznej;</w:t>
            </w:r>
          </w:p>
          <w:p w14:paraId="13843147" w14:textId="54CD419E" w:rsidR="00DE248E" w:rsidRPr="00404D79" w:rsidRDefault="00DE248E" w:rsidP="00404D79">
            <w:pPr>
              <w:pStyle w:val="Akapitzlist"/>
              <w:numPr>
                <w:ilvl w:val="0"/>
                <w:numId w:val="33"/>
              </w:numPr>
              <w:ind w:left="356"/>
              <w:rPr>
                <w:rFonts w:ascii="Times New Roman" w:hAnsi="Times New Roman"/>
                <w:spacing w:val="1"/>
                <w:sz w:val="20"/>
                <w:szCs w:val="20"/>
              </w:rPr>
            </w:pPr>
            <w:r w:rsidRPr="00404D79">
              <w:rPr>
                <w:rFonts w:ascii="Times New Roman" w:hAnsi="Times New Roman"/>
                <w:spacing w:val="1"/>
                <w:sz w:val="20"/>
                <w:szCs w:val="20"/>
              </w:rPr>
              <w:t>po 12 tygodniach od zakończenia leczenia (w 24 albo 28 tygodniu terapii) wykonać oznaczenie HCV RNA metodą jakościową</w:t>
            </w:r>
            <w:r w:rsidR="00675622" w:rsidRPr="00404D79">
              <w:rPr>
                <w:rFonts w:ascii="Times New Roman" w:hAnsi="Times New Roman"/>
                <w:spacing w:val="1"/>
                <w:sz w:val="20"/>
                <w:szCs w:val="20"/>
              </w:rPr>
              <w:t>.</w:t>
            </w:r>
          </w:p>
          <w:p w14:paraId="51632252" w14:textId="77777777" w:rsidR="004F0615" w:rsidRPr="00D25BF6" w:rsidRDefault="004F0615" w:rsidP="00725F8A">
            <w:pPr>
              <w:pStyle w:val="Akapitzlist"/>
              <w:ind w:left="357"/>
              <w:rPr>
                <w:rFonts w:ascii="Times New Roman" w:hAnsi="Times New Roman"/>
                <w:sz w:val="20"/>
                <w:szCs w:val="20"/>
              </w:rPr>
            </w:pPr>
          </w:p>
          <w:p w14:paraId="63288019" w14:textId="77777777" w:rsidR="000F750B" w:rsidRPr="00717EF9" w:rsidRDefault="000F750B" w:rsidP="009E2C03">
            <w:pPr>
              <w:pStyle w:val="Akapitzlist"/>
              <w:numPr>
                <w:ilvl w:val="0"/>
                <w:numId w:val="3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17EF9">
              <w:rPr>
                <w:rFonts w:ascii="Times New Roman" w:hAnsi="Times New Roman"/>
                <w:b/>
                <w:sz w:val="20"/>
                <w:szCs w:val="20"/>
              </w:rPr>
              <w:t>Monitorowanie programu:</w:t>
            </w:r>
          </w:p>
          <w:p w14:paraId="23C736E5" w14:textId="77777777" w:rsidR="000F750B" w:rsidRPr="00717EF9" w:rsidRDefault="000F750B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gromadzenie w dokumentacji medycznej pacjenta danych dotyczących monitorowania leczenia i każdorazowe ich przedstawianie na żądanie kontrolerów Narodowego Funduszu Zdrowia;</w:t>
            </w:r>
          </w:p>
          <w:p w14:paraId="2C91B3AD" w14:textId="77777777" w:rsidR="000F750B" w:rsidRPr="00717EF9" w:rsidRDefault="0020287F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uzupełnia</w:t>
            </w:r>
            <w:r w:rsidR="000F750B" w:rsidRPr="00717EF9">
              <w:rPr>
                <w:rFonts w:ascii="Times New Roman" w:hAnsi="Times New Roman"/>
                <w:sz w:val="20"/>
                <w:szCs w:val="20"/>
              </w:rPr>
              <w:t>nie danych zawartych w rejestrze (SMPT) dostępnym za pomocą aplikacji internetowej udostępnionej przez OW NFZ, z częstotliwością zgodną z opisem programu oraz na zakończenie leczenia;</w:t>
            </w:r>
          </w:p>
          <w:p w14:paraId="6CA6CE6F" w14:textId="77777777" w:rsidR="000F750B" w:rsidRPr="00717EF9" w:rsidRDefault="000F750B" w:rsidP="009E2C03">
            <w:pPr>
              <w:pStyle w:val="Akapitzlist"/>
              <w:numPr>
                <w:ilvl w:val="0"/>
                <w:numId w:val="9"/>
              </w:numPr>
              <w:spacing w:after="0"/>
              <w:ind w:left="357" w:hanging="357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717EF9">
              <w:rPr>
                <w:rFonts w:ascii="Times New Roman" w:hAnsi="Times New Roman"/>
                <w:sz w:val="20"/>
                <w:szCs w:val="20"/>
              </w:rPr>
              <w:t>przekazywanie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14:paraId="7FB71EF7" w14:textId="0CF370CD" w:rsidR="00C52F67" w:rsidRPr="00FD2978" w:rsidRDefault="00C52F67" w:rsidP="00D25BF6">
      <w:pPr>
        <w:pStyle w:val="Style2"/>
        <w:widowControl/>
        <w:spacing w:before="5"/>
        <w:rPr>
          <w:b/>
        </w:rPr>
      </w:pPr>
    </w:p>
    <w:sectPr w:rsidR="00C52F67" w:rsidRPr="00FD2978" w:rsidSect="006A77AA">
      <w:pgSz w:w="16838" w:h="11906" w:orient="landscape" w:code="9"/>
      <w:pgMar w:top="1588" w:right="720" w:bottom="141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A2E0C" w14:textId="77777777" w:rsidR="002818A3" w:rsidRDefault="002818A3" w:rsidP="00913AAA">
      <w:r>
        <w:separator/>
      </w:r>
    </w:p>
  </w:endnote>
  <w:endnote w:type="continuationSeparator" w:id="0">
    <w:p w14:paraId="2FFD2CC0" w14:textId="77777777" w:rsidR="002818A3" w:rsidRDefault="002818A3" w:rsidP="00913AAA">
      <w:r>
        <w:continuationSeparator/>
      </w:r>
    </w:p>
  </w:endnote>
  <w:endnote w:type="continuationNotice" w:id="1">
    <w:p w14:paraId="43AFB2FD" w14:textId="77777777" w:rsidR="002818A3" w:rsidRDefault="00281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7ED951" w14:textId="77777777" w:rsidR="002818A3" w:rsidRDefault="002818A3" w:rsidP="00913AAA">
      <w:r>
        <w:separator/>
      </w:r>
    </w:p>
  </w:footnote>
  <w:footnote w:type="continuationSeparator" w:id="0">
    <w:p w14:paraId="7A41A67F" w14:textId="77777777" w:rsidR="002818A3" w:rsidRDefault="002818A3" w:rsidP="00913AAA">
      <w:r>
        <w:continuationSeparator/>
      </w:r>
    </w:p>
  </w:footnote>
  <w:footnote w:type="continuationNotice" w:id="1">
    <w:p w14:paraId="3BEA2A83" w14:textId="77777777" w:rsidR="002818A3" w:rsidRDefault="002818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1040"/>
    <w:multiLevelType w:val="hybridMultilevel"/>
    <w:tmpl w:val="4E98A1F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2454931"/>
    <w:multiLevelType w:val="hybridMultilevel"/>
    <w:tmpl w:val="1FC4E788"/>
    <w:lvl w:ilvl="0" w:tplc="6BB0A5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9E3"/>
    <w:multiLevelType w:val="hybridMultilevel"/>
    <w:tmpl w:val="7DC455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62EB"/>
    <w:multiLevelType w:val="multilevel"/>
    <w:tmpl w:val="E1A291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60A4ED2"/>
    <w:multiLevelType w:val="hybridMultilevel"/>
    <w:tmpl w:val="70EEDA8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6767F80"/>
    <w:multiLevelType w:val="hybridMultilevel"/>
    <w:tmpl w:val="37FC3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B68FF"/>
    <w:multiLevelType w:val="hybridMultilevel"/>
    <w:tmpl w:val="9A843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64C"/>
    <w:multiLevelType w:val="hybridMultilevel"/>
    <w:tmpl w:val="BB0AFB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02F48"/>
    <w:multiLevelType w:val="hybridMultilevel"/>
    <w:tmpl w:val="2CD09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D1E90"/>
    <w:multiLevelType w:val="hybridMultilevel"/>
    <w:tmpl w:val="6BE82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92F52"/>
    <w:multiLevelType w:val="hybridMultilevel"/>
    <w:tmpl w:val="4238BF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845C82"/>
    <w:multiLevelType w:val="hybridMultilevel"/>
    <w:tmpl w:val="88B29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95511"/>
    <w:multiLevelType w:val="hybridMultilevel"/>
    <w:tmpl w:val="53A2C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B45870"/>
    <w:multiLevelType w:val="hybridMultilevel"/>
    <w:tmpl w:val="12606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FB7A59"/>
    <w:multiLevelType w:val="hybridMultilevel"/>
    <w:tmpl w:val="0100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D238E"/>
    <w:multiLevelType w:val="hybridMultilevel"/>
    <w:tmpl w:val="EBD4E13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DD10A2C"/>
    <w:multiLevelType w:val="hybridMultilevel"/>
    <w:tmpl w:val="DBF4D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9536A7"/>
    <w:multiLevelType w:val="hybridMultilevel"/>
    <w:tmpl w:val="9104E0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C7F07"/>
    <w:multiLevelType w:val="hybridMultilevel"/>
    <w:tmpl w:val="EBF80F9A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5F7E30"/>
    <w:multiLevelType w:val="hybridMultilevel"/>
    <w:tmpl w:val="DC94BD0E"/>
    <w:lvl w:ilvl="0" w:tplc="7D0A743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731F7"/>
    <w:multiLevelType w:val="hybridMultilevel"/>
    <w:tmpl w:val="21AE8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A287A"/>
    <w:multiLevelType w:val="hybridMultilevel"/>
    <w:tmpl w:val="0276E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D238C5"/>
    <w:multiLevelType w:val="hybridMultilevel"/>
    <w:tmpl w:val="43CE88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F465E6"/>
    <w:multiLevelType w:val="hybridMultilevel"/>
    <w:tmpl w:val="CF3000B0"/>
    <w:lvl w:ilvl="0" w:tplc="823E26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B7496"/>
    <w:multiLevelType w:val="hybridMultilevel"/>
    <w:tmpl w:val="FABA4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F5214"/>
    <w:multiLevelType w:val="hybridMultilevel"/>
    <w:tmpl w:val="FFB8C3A2"/>
    <w:lvl w:ilvl="0" w:tplc="21EEFA1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465440A7"/>
    <w:multiLevelType w:val="hybridMultilevel"/>
    <w:tmpl w:val="20526A14"/>
    <w:lvl w:ilvl="0" w:tplc="E18C765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50D41FF7"/>
    <w:multiLevelType w:val="hybridMultilevel"/>
    <w:tmpl w:val="B8D65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91A6A"/>
    <w:multiLevelType w:val="hybridMultilevel"/>
    <w:tmpl w:val="00F63FD0"/>
    <w:lvl w:ilvl="0" w:tplc="C7CA22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0A77"/>
    <w:multiLevelType w:val="hybridMultilevel"/>
    <w:tmpl w:val="314A45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308DF"/>
    <w:multiLevelType w:val="hybridMultilevel"/>
    <w:tmpl w:val="0CD24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B07D9"/>
    <w:multiLevelType w:val="hybridMultilevel"/>
    <w:tmpl w:val="0A0829A6"/>
    <w:lvl w:ilvl="0" w:tplc="69B4829C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2" w15:restartNumberingAfterBreak="0">
    <w:nsid w:val="669C42AC"/>
    <w:multiLevelType w:val="hybridMultilevel"/>
    <w:tmpl w:val="E91A3856"/>
    <w:lvl w:ilvl="0" w:tplc="04150011">
      <w:start w:val="1"/>
      <w:numFmt w:val="decimal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3" w15:restartNumberingAfterBreak="0">
    <w:nsid w:val="74B052DB"/>
    <w:multiLevelType w:val="hybridMultilevel"/>
    <w:tmpl w:val="BB9CFF46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C6FA2"/>
    <w:multiLevelType w:val="hybridMultilevel"/>
    <w:tmpl w:val="F3CED486"/>
    <w:lvl w:ilvl="0" w:tplc="62443A26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73E9E"/>
    <w:multiLevelType w:val="hybridMultilevel"/>
    <w:tmpl w:val="0B0E9A9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80E73EA"/>
    <w:multiLevelType w:val="hybridMultilevel"/>
    <w:tmpl w:val="36581B06"/>
    <w:lvl w:ilvl="0" w:tplc="0F36E3E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1"/>
  </w:num>
  <w:num w:numId="5">
    <w:abstractNumId w:val="16"/>
  </w:num>
  <w:num w:numId="6">
    <w:abstractNumId w:val="32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29"/>
  </w:num>
  <w:num w:numId="12">
    <w:abstractNumId w:val="18"/>
  </w:num>
  <w:num w:numId="13">
    <w:abstractNumId w:val="19"/>
  </w:num>
  <w:num w:numId="14">
    <w:abstractNumId w:val="27"/>
  </w:num>
  <w:num w:numId="15">
    <w:abstractNumId w:val="34"/>
  </w:num>
  <w:num w:numId="16">
    <w:abstractNumId w:val="8"/>
  </w:num>
  <w:num w:numId="17">
    <w:abstractNumId w:val="33"/>
  </w:num>
  <w:num w:numId="18">
    <w:abstractNumId w:val="0"/>
  </w:num>
  <w:num w:numId="19">
    <w:abstractNumId w:val="30"/>
  </w:num>
  <w:num w:numId="20">
    <w:abstractNumId w:val="35"/>
  </w:num>
  <w:num w:numId="21">
    <w:abstractNumId w:val="4"/>
  </w:num>
  <w:num w:numId="22">
    <w:abstractNumId w:val="15"/>
  </w:num>
  <w:num w:numId="23">
    <w:abstractNumId w:val="5"/>
  </w:num>
  <w:num w:numId="24">
    <w:abstractNumId w:val="17"/>
  </w:num>
  <w:num w:numId="25">
    <w:abstractNumId w:val="24"/>
  </w:num>
  <w:num w:numId="26">
    <w:abstractNumId w:val="20"/>
  </w:num>
  <w:num w:numId="27">
    <w:abstractNumId w:val="10"/>
  </w:num>
  <w:num w:numId="28">
    <w:abstractNumId w:val="2"/>
  </w:num>
  <w:num w:numId="29">
    <w:abstractNumId w:val="9"/>
  </w:num>
  <w:num w:numId="30">
    <w:abstractNumId w:val="22"/>
  </w:num>
  <w:num w:numId="31">
    <w:abstractNumId w:val="26"/>
  </w:num>
  <w:num w:numId="32">
    <w:abstractNumId w:val="1"/>
  </w:num>
  <w:num w:numId="33">
    <w:abstractNumId w:val="23"/>
  </w:num>
  <w:num w:numId="34">
    <w:abstractNumId w:val="28"/>
  </w:num>
  <w:num w:numId="35">
    <w:abstractNumId w:val="36"/>
  </w:num>
  <w:num w:numId="36">
    <w:abstractNumId w:val="25"/>
  </w:num>
  <w:num w:numId="37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12"/>
    <w:rsid w:val="00000643"/>
    <w:rsid w:val="00003256"/>
    <w:rsid w:val="00046335"/>
    <w:rsid w:val="000869B0"/>
    <w:rsid w:val="00094467"/>
    <w:rsid w:val="000A0490"/>
    <w:rsid w:val="000F2BDF"/>
    <w:rsid w:val="000F4C3E"/>
    <w:rsid w:val="000F5F7F"/>
    <w:rsid w:val="000F750B"/>
    <w:rsid w:val="00100A37"/>
    <w:rsid w:val="001357D6"/>
    <w:rsid w:val="001400C6"/>
    <w:rsid w:val="0015222E"/>
    <w:rsid w:val="001A6039"/>
    <w:rsid w:val="001A6A05"/>
    <w:rsid w:val="001B43E5"/>
    <w:rsid w:val="001C243F"/>
    <w:rsid w:val="001E2E25"/>
    <w:rsid w:val="001F73BF"/>
    <w:rsid w:val="00201A12"/>
    <w:rsid w:val="0020287F"/>
    <w:rsid w:val="002818A3"/>
    <w:rsid w:val="002A2D05"/>
    <w:rsid w:val="002A659C"/>
    <w:rsid w:val="002A7E67"/>
    <w:rsid w:val="002B6B12"/>
    <w:rsid w:val="002C4E34"/>
    <w:rsid w:val="0031597D"/>
    <w:rsid w:val="003558AD"/>
    <w:rsid w:val="0037036E"/>
    <w:rsid w:val="0038490E"/>
    <w:rsid w:val="003926D5"/>
    <w:rsid w:val="003A1059"/>
    <w:rsid w:val="003A4FF2"/>
    <w:rsid w:val="003E561E"/>
    <w:rsid w:val="00404D79"/>
    <w:rsid w:val="00407D55"/>
    <w:rsid w:val="00411732"/>
    <w:rsid w:val="004226D9"/>
    <w:rsid w:val="00430939"/>
    <w:rsid w:val="0043324A"/>
    <w:rsid w:val="00434D4C"/>
    <w:rsid w:val="0046790F"/>
    <w:rsid w:val="004F0615"/>
    <w:rsid w:val="004F1712"/>
    <w:rsid w:val="004F72E8"/>
    <w:rsid w:val="00513883"/>
    <w:rsid w:val="00513B65"/>
    <w:rsid w:val="005158AB"/>
    <w:rsid w:val="00517F20"/>
    <w:rsid w:val="00521693"/>
    <w:rsid w:val="00537457"/>
    <w:rsid w:val="005525E9"/>
    <w:rsid w:val="0058394C"/>
    <w:rsid w:val="0059283F"/>
    <w:rsid w:val="005974CD"/>
    <w:rsid w:val="00597BE8"/>
    <w:rsid w:val="005A3B5B"/>
    <w:rsid w:val="005C04F5"/>
    <w:rsid w:val="005C4C92"/>
    <w:rsid w:val="005C7F87"/>
    <w:rsid w:val="005E7ED2"/>
    <w:rsid w:val="005F6058"/>
    <w:rsid w:val="00612C4F"/>
    <w:rsid w:val="00651E1D"/>
    <w:rsid w:val="00675622"/>
    <w:rsid w:val="006768D6"/>
    <w:rsid w:val="006A77AA"/>
    <w:rsid w:val="006B6526"/>
    <w:rsid w:val="006C1B22"/>
    <w:rsid w:val="006C4D75"/>
    <w:rsid w:val="00706419"/>
    <w:rsid w:val="00717EF9"/>
    <w:rsid w:val="00725F8A"/>
    <w:rsid w:val="00765D79"/>
    <w:rsid w:val="00777BFC"/>
    <w:rsid w:val="007C53C5"/>
    <w:rsid w:val="007D1A59"/>
    <w:rsid w:val="007D53EB"/>
    <w:rsid w:val="007D7064"/>
    <w:rsid w:val="007D75E6"/>
    <w:rsid w:val="007F41CA"/>
    <w:rsid w:val="00865166"/>
    <w:rsid w:val="00866296"/>
    <w:rsid w:val="008721CB"/>
    <w:rsid w:val="008A229F"/>
    <w:rsid w:val="008C520F"/>
    <w:rsid w:val="008D057B"/>
    <w:rsid w:val="008F7921"/>
    <w:rsid w:val="009023E7"/>
    <w:rsid w:val="00904799"/>
    <w:rsid w:val="00907303"/>
    <w:rsid w:val="00913AAA"/>
    <w:rsid w:val="009174F7"/>
    <w:rsid w:val="00922889"/>
    <w:rsid w:val="00927FEA"/>
    <w:rsid w:val="009438AD"/>
    <w:rsid w:val="00956373"/>
    <w:rsid w:val="00964651"/>
    <w:rsid w:val="009D6876"/>
    <w:rsid w:val="009E2C03"/>
    <w:rsid w:val="009E5506"/>
    <w:rsid w:val="009E6D50"/>
    <w:rsid w:val="00A056F5"/>
    <w:rsid w:val="00A44B14"/>
    <w:rsid w:val="00A5102F"/>
    <w:rsid w:val="00A94DF9"/>
    <w:rsid w:val="00A96385"/>
    <w:rsid w:val="00AC66D4"/>
    <w:rsid w:val="00AF71C9"/>
    <w:rsid w:val="00B16979"/>
    <w:rsid w:val="00B2319A"/>
    <w:rsid w:val="00B32907"/>
    <w:rsid w:val="00B36FAE"/>
    <w:rsid w:val="00B541CE"/>
    <w:rsid w:val="00B718B0"/>
    <w:rsid w:val="00B92D8E"/>
    <w:rsid w:val="00B9696C"/>
    <w:rsid w:val="00BA3598"/>
    <w:rsid w:val="00BB49F8"/>
    <w:rsid w:val="00BE5A22"/>
    <w:rsid w:val="00BF2A36"/>
    <w:rsid w:val="00C04A5E"/>
    <w:rsid w:val="00C252D8"/>
    <w:rsid w:val="00C27AD7"/>
    <w:rsid w:val="00C347DC"/>
    <w:rsid w:val="00C3573A"/>
    <w:rsid w:val="00C51E26"/>
    <w:rsid w:val="00C52F67"/>
    <w:rsid w:val="00C54EC7"/>
    <w:rsid w:val="00C725CD"/>
    <w:rsid w:val="00C87E8E"/>
    <w:rsid w:val="00CA3704"/>
    <w:rsid w:val="00CC1C5D"/>
    <w:rsid w:val="00CD7C22"/>
    <w:rsid w:val="00CF4575"/>
    <w:rsid w:val="00D20D07"/>
    <w:rsid w:val="00D25756"/>
    <w:rsid w:val="00D25BF6"/>
    <w:rsid w:val="00D303C1"/>
    <w:rsid w:val="00D470B3"/>
    <w:rsid w:val="00D544CD"/>
    <w:rsid w:val="00D61FC0"/>
    <w:rsid w:val="00D74224"/>
    <w:rsid w:val="00DE248E"/>
    <w:rsid w:val="00DF3792"/>
    <w:rsid w:val="00E13A86"/>
    <w:rsid w:val="00E51524"/>
    <w:rsid w:val="00E62CB6"/>
    <w:rsid w:val="00ED76A6"/>
    <w:rsid w:val="00EF24BE"/>
    <w:rsid w:val="00F03C0B"/>
    <w:rsid w:val="00F12A78"/>
    <w:rsid w:val="00F33D9B"/>
    <w:rsid w:val="00F40101"/>
    <w:rsid w:val="00F55B4D"/>
    <w:rsid w:val="00F6279E"/>
    <w:rsid w:val="00FB60BE"/>
    <w:rsid w:val="00F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76464"/>
  <w15:docId w15:val="{972D6C69-6B08-4101-8921-47B7B804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5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869B0"/>
    <w:rPr>
      <w:rFonts w:cs="Times New Roman"/>
      <w:color w:val="0000FF"/>
      <w:u w:val="single"/>
    </w:rPr>
  </w:style>
  <w:style w:type="paragraph" w:customStyle="1" w:styleId="Style1">
    <w:name w:val="Style1"/>
    <w:basedOn w:val="Normalny"/>
    <w:uiPriority w:val="99"/>
    <w:rsid w:val="006B6526"/>
    <w:pPr>
      <w:jc w:val="both"/>
    </w:pPr>
  </w:style>
  <w:style w:type="paragraph" w:customStyle="1" w:styleId="Style2">
    <w:name w:val="Style2"/>
    <w:basedOn w:val="Normalny"/>
    <w:uiPriority w:val="99"/>
    <w:rsid w:val="006B6526"/>
    <w:pPr>
      <w:spacing w:line="331" w:lineRule="exact"/>
      <w:jc w:val="both"/>
    </w:pPr>
  </w:style>
  <w:style w:type="paragraph" w:customStyle="1" w:styleId="Style4">
    <w:name w:val="Style4"/>
    <w:basedOn w:val="Normalny"/>
    <w:uiPriority w:val="99"/>
    <w:rsid w:val="006B6526"/>
    <w:pPr>
      <w:spacing w:line="266" w:lineRule="exact"/>
      <w:ind w:hanging="367"/>
    </w:pPr>
  </w:style>
  <w:style w:type="paragraph" w:customStyle="1" w:styleId="Style5">
    <w:name w:val="Style5"/>
    <w:basedOn w:val="Normalny"/>
    <w:uiPriority w:val="99"/>
    <w:rsid w:val="006B6526"/>
    <w:pPr>
      <w:spacing w:line="266" w:lineRule="exact"/>
    </w:pPr>
  </w:style>
  <w:style w:type="paragraph" w:customStyle="1" w:styleId="Style6">
    <w:name w:val="Style6"/>
    <w:basedOn w:val="Normalny"/>
    <w:uiPriority w:val="99"/>
    <w:rsid w:val="006B6526"/>
    <w:pPr>
      <w:spacing w:line="259" w:lineRule="exact"/>
      <w:ind w:hanging="353"/>
    </w:pPr>
  </w:style>
  <w:style w:type="paragraph" w:customStyle="1" w:styleId="Style7">
    <w:name w:val="Style7"/>
    <w:basedOn w:val="Normalny"/>
    <w:uiPriority w:val="99"/>
    <w:rsid w:val="006B6526"/>
    <w:pPr>
      <w:spacing w:line="266" w:lineRule="exact"/>
    </w:pPr>
  </w:style>
  <w:style w:type="character" w:customStyle="1" w:styleId="FontStyle19">
    <w:name w:val="Font Style19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1">
    <w:name w:val="Font Style21"/>
    <w:basedOn w:val="Domylnaczcionkaakapitu"/>
    <w:uiPriority w:val="99"/>
    <w:rsid w:val="006B6526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6B6526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913A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13AA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13A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13AAA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B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B14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4226D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A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AD7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A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AD7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6A5C9-1FA4-4BE7-8A74-B1B60629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1822</Words>
  <Characters>11464</Characters>
  <Application>Microsoft Office Word</Application>
  <DocSecurity>4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Gilead Sciences</Company>
  <LinksUpToDate>false</LinksUpToDate>
  <CharactersWithSpaces>13260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Mierzejewski</dc:creator>
  <cp:lastModifiedBy>Amanowicz Marcin</cp:lastModifiedBy>
  <cp:revision>2</cp:revision>
  <cp:lastPrinted>2018-05-22T12:04:00Z</cp:lastPrinted>
  <dcterms:created xsi:type="dcterms:W3CDTF">2018-06-22T14:07:00Z</dcterms:created>
  <dcterms:modified xsi:type="dcterms:W3CDTF">2018-06-22T14:07:00Z</dcterms:modified>
</cp:coreProperties>
</file>