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AFB25" w14:textId="77777777" w:rsidR="00BE5A22" w:rsidRPr="00342604" w:rsidRDefault="00BE5A22" w:rsidP="00BE5A22">
      <w:pPr>
        <w:pStyle w:val="Nagwek"/>
        <w:rPr>
          <w:sz w:val="22"/>
          <w:szCs w:val="22"/>
        </w:rPr>
      </w:pPr>
      <w:bookmarkStart w:id="0" w:name="_GoBack"/>
      <w:bookmarkEnd w:id="0"/>
      <w:r w:rsidRPr="00342604">
        <w:rPr>
          <w:sz w:val="22"/>
          <w:szCs w:val="22"/>
        </w:rPr>
        <w:t xml:space="preserve">Załącznik B.71. </w:t>
      </w:r>
    </w:p>
    <w:p w14:paraId="6841AA75" w14:textId="77777777" w:rsidR="00BE5A22" w:rsidRPr="00342604" w:rsidRDefault="00BE5A22" w:rsidP="00BE5A22">
      <w:pPr>
        <w:pStyle w:val="Style2"/>
        <w:widowControl/>
        <w:spacing w:line="240" w:lineRule="auto"/>
        <w:rPr>
          <w:rStyle w:val="FontStyle19"/>
          <w:color w:val="auto"/>
          <w:sz w:val="22"/>
          <w:szCs w:val="22"/>
        </w:rPr>
      </w:pPr>
    </w:p>
    <w:p w14:paraId="3A35398C" w14:textId="77777777" w:rsidR="004226D9" w:rsidRPr="00342604" w:rsidRDefault="00C52F67" w:rsidP="00BE5A22">
      <w:pPr>
        <w:pStyle w:val="Style2"/>
        <w:widowControl/>
        <w:spacing w:after="240" w:line="240" w:lineRule="auto"/>
        <w:rPr>
          <w:rStyle w:val="FontStyle20"/>
          <w:color w:val="auto"/>
          <w:sz w:val="28"/>
          <w:szCs w:val="28"/>
        </w:rPr>
      </w:pPr>
      <w:r w:rsidRPr="00342604">
        <w:rPr>
          <w:rStyle w:val="FontStyle19"/>
          <w:color w:val="auto"/>
          <w:sz w:val="28"/>
          <w:szCs w:val="28"/>
        </w:rPr>
        <w:t>LECZENIE PRZEWLEKŁEGO WIRUSOWEGO ZAPALENIA WĄTROBY TYPU C TERAPIĄ BEZINTERFERONOWĄ (ICD-10 B 18</w:t>
      </w:r>
      <w:r w:rsidRPr="00342604">
        <w:rPr>
          <w:rStyle w:val="FontStyle20"/>
          <w:color w:val="auto"/>
          <w:sz w:val="28"/>
          <w:szCs w:val="28"/>
        </w:rPr>
        <w:t>.2)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5104"/>
        <w:gridCol w:w="4901"/>
      </w:tblGrid>
      <w:tr w:rsidR="00342604" w:rsidRPr="00342604" w14:paraId="02E21D08" w14:textId="77777777" w:rsidTr="005C7F87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910B" w14:textId="77777777" w:rsidR="004226D9" w:rsidRPr="00342604" w:rsidRDefault="004226D9" w:rsidP="00BE5A22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342604" w:rsidRPr="00342604" w14:paraId="1DA5F8DA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5AB4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77F8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47FF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4226D9" w:rsidRPr="00342604" w14:paraId="564A6951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764D" w14:textId="5078048B" w:rsidR="004226D9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 xml:space="preserve">Kryteria </w:t>
            </w:r>
            <w:r w:rsidR="000F750B" w:rsidRPr="00342604">
              <w:rPr>
                <w:rFonts w:ascii="Times New Roman" w:hAnsi="Times New Roman"/>
                <w:b/>
                <w:sz w:val="20"/>
                <w:szCs w:val="20"/>
              </w:rPr>
              <w:t>kwalifikacji</w:t>
            </w: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DEF16CE" w14:textId="77777777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Do programu kwalifikowani są 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>dorośli świadczeniobiorcy (ukończony 18 r. ż.)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, chorzy na przewlekłe wirusowe zapalenie wątroby typu C i spełniający łącznie poniższe kryteria:</w:t>
            </w:r>
          </w:p>
          <w:p w14:paraId="284AA479" w14:textId="77777777" w:rsidR="004226D9" w:rsidRPr="00342604" w:rsidRDefault="00D25BF6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obecność HCV RN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 w surowicy krwi lub w tkance</w:t>
            </w:r>
            <w:r w:rsidR="00717EF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wątrobowej;</w:t>
            </w:r>
          </w:p>
          <w:p w14:paraId="53F825F8" w14:textId="71D57B00" w:rsidR="00B541CE" w:rsidRPr="00342604" w:rsidRDefault="00B541CE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obecność przeciwciał anty-HCV;</w:t>
            </w:r>
          </w:p>
          <w:p w14:paraId="240AA893" w14:textId="77777777" w:rsidR="004226D9" w:rsidRPr="00342604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stwierdzenie włóknienia wątroby określonego z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wykorzystaniem elastografii wątroby wykonanej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techniką umożliwiającą pomiar ilościowy w kPa lub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określonego z wykorzystaniem biopsji wątroby. W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przypadku podejrzenia współistnienia chorób wątroby 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innej etiologii, niezgodności wyniku badania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nieinwazyjnego ze stanem klinicznym chorego lub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rozbieżności pomiędzy wynikami różnych badań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nieinwazyjnych zalecane jest wykonanie biopsji wątroby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(o ile nie jest ona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przeciwwskazana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), której wynik ma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wówczas znaczenie rozstrzygające;</w:t>
            </w:r>
          </w:p>
          <w:p w14:paraId="47F1D024" w14:textId="77777777" w:rsidR="004226D9" w:rsidRPr="00342604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potwierdzona obecność zakażenia genotypem:</w:t>
            </w:r>
          </w:p>
          <w:p w14:paraId="22CACC86" w14:textId="77777777" w:rsidR="00C27AD7" w:rsidRPr="00342604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C27AD7" w:rsidRPr="00342604">
              <w:rPr>
                <w:rFonts w:ascii="Times New Roman" w:hAnsi="Times New Roman"/>
                <w:sz w:val="20"/>
                <w:szCs w:val="20"/>
              </w:rPr>
              <w:t xml:space="preserve">HCV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- w przypadku kwalifikacji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C92" w:rsidRPr="00342604">
              <w:rPr>
                <w:rFonts w:ascii="Times New Roman" w:hAnsi="Times New Roman"/>
                <w:sz w:val="20"/>
                <w:szCs w:val="20"/>
              </w:rPr>
              <w:t>do terapii ombitaswirem, pary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taprewirem,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C92" w:rsidRPr="00342604">
              <w:rPr>
                <w:rFonts w:ascii="Times New Roman" w:hAnsi="Times New Roman"/>
                <w:sz w:val="20"/>
                <w:szCs w:val="20"/>
              </w:rPr>
              <w:t>ry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tonawirem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>skojarz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>e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>n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>iu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C27AD7" w:rsidRPr="00342604">
              <w:rPr>
                <w:rFonts w:ascii="Times New Roman" w:hAnsi="Times New Roman"/>
                <w:sz w:val="20"/>
                <w:szCs w:val="20"/>
              </w:rPr>
              <w:t xml:space="preserve"> dazabuwirem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>(i ewentualnie rybawiryną)</w:t>
            </w:r>
            <w:r w:rsidR="00C27AD7"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</w:p>
          <w:p w14:paraId="5914E32E" w14:textId="77777777" w:rsidR="000F750B" w:rsidRPr="00342604" w:rsidRDefault="00C27AD7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 HCV – w przypadku 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kwalifikacji do terapii ombitaswirem, parytaprewirem, rytonawirem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 xml:space="preserve"> w sk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ojarz</w:t>
            </w:r>
            <w:r w:rsidR="001E2E25" w:rsidRPr="00342604">
              <w:rPr>
                <w:rFonts w:ascii="Times New Roman" w:hAnsi="Times New Roman"/>
                <w:sz w:val="20"/>
                <w:szCs w:val="20"/>
              </w:rPr>
              <w:t>eniu</w:t>
            </w:r>
            <w:r w:rsidR="007D53EB" w:rsidRPr="00342604">
              <w:rPr>
                <w:rFonts w:ascii="Times New Roman" w:hAnsi="Times New Roman"/>
                <w:sz w:val="20"/>
                <w:szCs w:val="20"/>
              </w:rPr>
              <w:t xml:space="preserve"> z rybawiryną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albo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1D7B4" w14:textId="7C001A96" w:rsidR="000F750B" w:rsidRPr="00342604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 HCV - w przypadku kwalifikacji do terapii sofosbuwirem w skojarzeniu z ledipaswirem</w:t>
            </w:r>
            <w:r w:rsidR="005525E9" w:rsidRPr="00342604">
              <w:rPr>
                <w:rFonts w:ascii="Times New Roman" w:hAnsi="Times New Roman"/>
                <w:sz w:val="20"/>
                <w:szCs w:val="20"/>
              </w:rPr>
              <w:t>, lub welpataswirem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(i ewentualnie rybawiryną)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ECDDBF" w14:textId="77777777" w:rsidR="004226D9" w:rsidRPr="00342604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2,3,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4,5,6 HCV- w przypadku kwalifikacji do terapii sofosbuwirem w skojarzeniu z rybawiryną albo sofosbuwirem w skojarzeniu z interf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eronem pegylowanym i rybawiryną, albo</w:t>
            </w:r>
          </w:p>
          <w:p w14:paraId="46729141" w14:textId="77777777" w:rsidR="00C04A5E" w:rsidRPr="00342604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 lub 4 HCV - w przypadku kwalifikacji do terapii grazoprewirem+elbaswirem (i ewentualnie rybawiryną</w:t>
            </w:r>
            <w:r w:rsidR="005525E9" w:rsidRPr="003426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4A5E" w:rsidRPr="00342604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4604A72D" w14:textId="77777777" w:rsidR="006E40EB" w:rsidRPr="00342604" w:rsidRDefault="00C04A5E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2,3,4,5,6 HCV- w</w:t>
            </w:r>
            <w:r w:rsidR="00927FEA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przypadku kwalifikacji do terapii sofosbuwirem w skojarzeniu z welpataswirem (i ewentualnie rybawiryną)</w:t>
            </w:r>
            <w:r w:rsidR="006E40EB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9A7B46" w14:textId="77777777" w:rsidR="006E40EB" w:rsidRPr="00342604" w:rsidRDefault="006E40EB" w:rsidP="001415E6">
            <w:pPr>
              <w:ind w:left="357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>albo</w:t>
            </w:r>
          </w:p>
          <w:p w14:paraId="6783D68A" w14:textId="77777777" w:rsidR="006E40EB" w:rsidRPr="00342604" w:rsidRDefault="006E40EB" w:rsidP="006E40EB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1,2,3,4,5,6 HCV – w przypadku kwalifikacji do terapii glekaprewirem w skojarzeniu z pibrentaswirem.</w:t>
            </w:r>
          </w:p>
          <w:p w14:paraId="4503BB8F" w14:textId="7789721A" w:rsidR="00A94DF9" w:rsidRPr="00342604" w:rsidRDefault="00A94DF9" w:rsidP="001415E6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B3F2841" w14:textId="23C211C5" w:rsidR="000F750B" w:rsidRPr="00342604" w:rsidRDefault="000F750B" w:rsidP="00D470B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sz w:val="20"/>
                <w:szCs w:val="20"/>
              </w:rPr>
            </w:pPr>
          </w:p>
          <w:p w14:paraId="00F80E26" w14:textId="77777777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Do programu kwalifikowani są również świadczeniobiorcy, u których stwierdzono przeciwwskazania do leczenia interferonem lub nietolerancję wcześniejszej terapii interferonem, spełniający łącznie kryteria opisane w pkt. 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>1a, 1b, 1d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br/>
            </w: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Przeciwwskazania do stosowania interferonu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definiowane są jako:</w:t>
            </w:r>
          </w:p>
          <w:p w14:paraId="474374B0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interferony lub na którąkolwiek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 xml:space="preserve"> substancję pomocniczą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E05637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niewyrównana marskość wątroby;</w:t>
            </w:r>
          </w:p>
          <w:p w14:paraId="1658257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zapalenie wątroby lub inna choroba o etiologii</w:t>
            </w:r>
          </w:p>
          <w:p w14:paraId="4EA31E61" w14:textId="77777777" w:rsidR="004226D9" w:rsidRPr="00342604" w:rsidRDefault="004226D9" w:rsidP="000F2BD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autoimmunologicznej;</w:t>
            </w:r>
          </w:p>
          <w:p w14:paraId="62D14448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stan po przeszczepieniu wątroby lub innego narządu; </w:t>
            </w:r>
          </w:p>
          <w:p w14:paraId="11355E38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pacjenci zakwalifikowani do przeszczepienia wątroby; </w:t>
            </w:r>
          </w:p>
          <w:p w14:paraId="476C3893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ciężka, zwłaszcza niestabilna choroba serca, której utrudnione kontrolowanie zostało potwierdzone konsultacją kardiologiczną;</w:t>
            </w:r>
          </w:p>
          <w:p w14:paraId="1DC33C04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zespół metaboliczny, a zwłaszcza trudna do opanowania cukrzyca, której utrudnione kontrolowanie zostało potwierdzone konsultacją endokrynologiczną; </w:t>
            </w:r>
          </w:p>
          <w:p w14:paraId="65E22C69" w14:textId="77777777" w:rsidR="0004633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depresja, myśli samobójcze lub próby samobójcze udokument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owane badaniem psychiatrycznym;</w:t>
            </w:r>
          </w:p>
          <w:p w14:paraId="30CE9282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choroby tarczycy przebiegające z nieprawidłowymi wartościami TSH;</w:t>
            </w:r>
          </w:p>
          <w:p w14:paraId="7FD7614F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niedokrwistość; </w:t>
            </w:r>
          </w:p>
          <w:p w14:paraId="04BD1CF9" w14:textId="77777777" w:rsidR="004226D9" w:rsidRPr="00342604" w:rsidRDefault="00046335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małopłytkowość &lt; 90 000 /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0D26F0" w14:textId="77777777" w:rsidR="00717EF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bezwzględna liczba neutrofilów &lt;1500 /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  <w:r w:rsidR="00717EF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9BC504" w14:textId="77777777" w:rsidR="004226D9" w:rsidRPr="00342604" w:rsidRDefault="004226D9" w:rsidP="00D25BF6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342604">
              <w:rPr>
                <w:b/>
                <w:sz w:val="20"/>
                <w:szCs w:val="20"/>
              </w:rPr>
              <w:t>Nietolerancja interferonu</w:t>
            </w:r>
            <w:r w:rsidRPr="00342604">
              <w:rPr>
                <w:sz w:val="20"/>
                <w:szCs w:val="20"/>
              </w:rPr>
              <w:t xml:space="preserve"> definiowana jest jako wystąpienie w trakcie wcześniejszego leczenia przynajmniej jednego z poniższych stanów:</w:t>
            </w:r>
          </w:p>
          <w:p w14:paraId="6FE1FFA5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interferon lub na którąkolwiek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 xml:space="preserve"> substancję pomocniczą;</w:t>
            </w:r>
          </w:p>
          <w:p w14:paraId="4C194AF0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schorzenie autoimmunologiczne;</w:t>
            </w:r>
          </w:p>
          <w:p w14:paraId="015CA58B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zaostrzenie istniejącej uprzednio choroby towarzyszącej;</w:t>
            </w:r>
          </w:p>
          <w:p w14:paraId="5A477C7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obniżenie wyjściowej masy ciała o więcej niż 20%;</w:t>
            </w:r>
          </w:p>
          <w:p w14:paraId="037FD40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depresja, myśli samobójcze lub próby samobójcze;</w:t>
            </w:r>
          </w:p>
          <w:p w14:paraId="59F6D9B4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nieprawidłowe wartości TSH;</w:t>
            </w:r>
          </w:p>
          <w:p w14:paraId="6E0AA634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stężenie hemoglobiny &lt;8.5 mg%;</w:t>
            </w:r>
          </w:p>
          <w:p w14:paraId="29971499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małopłytkowość &lt;50 000 /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L;</w:t>
            </w:r>
          </w:p>
          <w:p w14:paraId="23FE073A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bezwzględna liczba neutrofilów &lt;500/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</w:t>
            </w:r>
            <w:r w:rsidR="000F2BDF" w:rsidRPr="00342604">
              <w:rPr>
                <w:rFonts w:ascii="Times New Roman" w:hAnsi="Times New Roman"/>
                <w:sz w:val="20"/>
                <w:szCs w:val="20"/>
              </w:rPr>
              <w:t>L.</w:t>
            </w:r>
          </w:p>
          <w:p w14:paraId="63680726" w14:textId="3C0EE3E8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Do programu kwalifikowani są świadczeniobiorcy</w:t>
            </w:r>
            <w:r w:rsidR="000F4C3E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z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pozawątrobową manifestacją zakażenia HCV, niezależnie od zaawansowania choroby </w:t>
            </w:r>
            <w:r w:rsidR="00B541CE" w:rsidRPr="00342604">
              <w:rPr>
                <w:rFonts w:ascii="Times New Roman" w:hAnsi="Times New Roman"/>
                <w:sz w:val="20"/>
                <w:szCs w:val="20"/>
              </w:rPr>
              <w:t>w obrazie histopatologicznym</w:t>
            </w:r>
            <w:r w:rsidR="00513B65" w:rsidRPr="00342604">
              <w:rPr>
                <w:rFonts w:ascii="Times New Roman" w:hAnsi="Times New Roman"/>
                <w:sz w:val="20"/>
                <w:szCs w:val="20"/>
              </w:rPr>
              <w:t xml:space="preserve"> wątroby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E716CC" w14:textId="77777777" w:rsidR="004226D9" w:rsidRPr="00342604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4462495B" w14:textId="77777777" w:rsidR="002A7E67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Kryteria uniemożliwiające kwalifikację do programu:</w:t>
            </w:r>
          </w:p>
          <w:p w14:paraId="09A4F936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substancję czynną lub substancję pomocniczą;</w:t>
            </w:r>
          </w:p>
          <w:p w14:paraId="18F9353B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niestwierdzenie HCV RNA w surowicy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ub w tkance wątrobowej przy obecności przeciwciał anty-HCV;</w:t>
            </w:r>
          </w:p>
          <w:p w14:paraId="2B7BDD25" w14:textId="5FEFA8EC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ciężka niewydolność wątroby (stopień C wg klasyfikacji Child-Pugh) - nie dotyczy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kwalifikowania do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terapii z użyciem sofosbuwiru w skojarzeniu z ledipaswirem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welpataswirem oraz ewentualnie z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rybawiryną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DC9C06" w14:textId="624435A4" w:rsidR="00B541CE" w:rsidRPr="00342604" w:rsidRDefault="00B541CE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konieczność przyjmowania leków mogących obniżać aktywność osoczową sofosbuwiru albo sofosbuwiru i ledipaswiru albo sofosbuwiru i welpataswiru</w:t>
            </w:r>
            <w:r w:rsidR="00964651" w:rsidRPr="00342604">
              <w:rPr>
                <w:rFonts w:ascii="Times New Roman" w:hAnsi="Times New Roman"/>
                <w:sz w:val="20"/>
                <w:szCs w:val="20"/>
              </w:rPr>
              <w:t>, w szczególności silnych induktorów glikoproteiny P w jelitach (o ile dotyczy);</w:t>
            </w:r>
          </w:p>
          <w:p w14:paraId="22ACCEAB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czynne uzależnienie od alkoholu lub środków odurzających;</w:t>
            </w:r>
          </w:p>
          <w:p w14:paraId="5A814DC9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ciąża lub karmienie piersią;</w:t>
            </w:r>
          </w:p>
          <w:p w14:paraId="2D9205CA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inne przeciwwskazania do stosowania określone w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odpowiednich charakterystykach:</w:t>
            </w:r>
          </w:p>
          <w:p w14:paraId="55F4F431" w14:textId="77777777" w:rsidR="004226D9" w:rsidRPr="00342604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dazabuwiru i ombitaswiru + parytaprewir + rytonawir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oraz rybawiryn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(o ile dotyczy) albo</w:t>
            </w:r>
          </w:p>
          <w:p w14:paraId="549A2AD5" w14:textId="224A09E2" w:rsidR="00046335" w:rsidRPr="00342604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sofosbuwiru lub sofosbu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wiru</w:t>
            </w:r>
            <w:r w:rsidR="00C347DC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ledipaswir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>em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 lub sofosbuwiru z welpataswirem</w:t>
            </w:r>
            <w:r w:rsidR="001C243F" w:rsidRPr="00342604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 pegylowanego interferonu i/lub rybawiryny (o ile dotyczy)</w:t>
            </w:r>
            <w:r w:rsidR="000F2BDF" w:rsidRPr="00342604">
              <w:rPr>
                <w:rFonts w:ascii="Times New Roman" w:hAnsi="Times New Roman"/>
                <w:sz w:val="20"/>
                <w:szCs w:val="20"/>
              </w:rPr>
              <w:t>, albo</w:t>
            </w:r>
          </w:p>
          <w:p w14:paraId="396A0F76" w14:textId="6EEB4096" w:rsidR="000F2BDF" w:rsidRPr="00342604" w:rsidRDefault="000F2BDF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grazoprewiru+elbaswiru oraz rybawiryny (o ile dotyczy)</w:t>
            </w:r>
            <w:r w:rsidR="004E2D35"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</w:p>
          <w:p w14:paraId="79BAE6C4" w14:textId="02234B41" w:rsidR="006E40EB" w:rsidRPr="00342604" w:rsidRDefault="006E40EB" w:rsidP="006E40EB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glekaprewiru w skojarzeniu z pibrentaswirem</w:t>
            </w:r>
            <w:r w:rsidR="00A162C8" w:rsidRPr="00342604">
              <w:rPr>
                <w:rFonts w:ascii="Times New Roman" w:hAnsi="Times New Roman"/>
                <w:sz w:val="20"/>
                <w:szCs w:val="20"/>
              </w:rPr>
              <w:t xml:space="preserve"> (o ile dotyczy)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F87C08" w14:textId="77777777" w:rsidR="006E40EB" w:rsidRPr="00342604" w:rsidRDefault="006E40EB" w:rsidP="0005344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4DFF2CA" w14:textId="77777777" w:rsidR="004226D9" w:rsidRPr="00342604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0E720FD2" w14:textId="77777777" w:rsidR="004226D9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Kryteria wyłączenia z programu:</w:t>
            </w:r>
          </w:p>
          <w:p w14:paraId="48D595FF" w14:textId="77777777" w:rsidR="004226D9" w:rsidRPr="00342604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ujawnienie okoliczności określonych w ust. 2 w trakcie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44E84602" w14:textId="77777777" w:rsidR="004226D9" w:rsidRPr="00342604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>działania niepożądane stosowanych w programie leków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uzasadniające przerwanie leczenia:</w:t>
            </w:r>
          </w:p>
          <w:p w14:paraId="1DD2838F" w14:textId="77777777" w:rsidR="004226D9" w:rsidRPr="00342604" w:rsidRDefault="004226D9" w:rsidP="009E2C03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opinii lekarza prowadzącego terapię lub</w:t>
            </w:r>
          </w:p>
          <w:p w14:paraId="1C995A8B" w14:textId="27FD87F9" w:rsidR="008721CB" w:rsidRPr="00F96DC7" w:rsidRDefault="004226D9" w:rsidP="00F96DC7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zgodnie z charakterystykami odpowiednich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produktów leczn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>iczych</w:t>
            </w:r>
            <w:r w:rsidR="00537457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4C68" w14:textId="77777777" w:rsidR="006768D6" w:rsidRPr="00342604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Dazabuwir i ombitaswir + parytaprewir + rytonawir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w ramach programu dawkuje się zgodnie z odpowiednimi Charakterystykami Produktów Leczniczych.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23BA790" w14:textId="0ABC212F" w:rsidR="00BB49F8" w:rsidRPr="00342604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Sofosbuwir </w:t>
            </w:r>
            <w:r w:rsidR="005A3B5B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sofosbuwir+ledipaswir</w:t>
            </w:r>
            <w:r w:rsidR="005A3B5B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sofosbuwir +welpataswir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programu </w:t>
            </w:r>
            <w:r w:rsidR="00046335" w:rsidRPr="00342604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się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zgodnie z odpowiednimi Charakterystykami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Produktów Leczniczych;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597F0FE" w14:textId="4FB4ABFB" w:rsidR="00B32907" w:rsidRPr="00342604" w:rsidRDefault="00B32907" w:rsidP="00612C4F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sofosbuwirem 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sofosbuwirem i ledipaswirem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sofosbuwirem i welpataswirem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, należy stosować zgodnie ze schematem dawkowania określonym w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Charakterystyce Produktu Leczniczego zawierającego sofosbuwir 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sofosbuwir+ ledipaswir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 +welpataswir</w:t>
            </w:r>
            <w:r w:rsidR="00C54EC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C54EC7" w:rsidRPr="003426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Rybawiryna w ilości niezbędnej do prowadzenia terapii z użyciem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>tych leków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jest finansowana w ramach programu lekowego „Leczenie przewlekłego wirusowego zapalenia wątroby typu C (ICD-10 B 18.2)" -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</w:p>
          <w:p w14:paraId="0105042A" w14:textId="77777777" w:rsidR="00C347DC" w:rsidRPr="00342604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r w:rsidR="006768D6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terferon pegylowany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768D6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i rybawiryn</w:t>
            </w:r>
            <w:r w:rsidR="00B32907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do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terapii skojarzonej z sofosbuwirem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należy stosować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zgodnie z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2978" w:rsidRPr="00342604">
              <w:rPr>
                <w:rFonts w:ascii="Times New Roman" w:hAnsi="Times New Roman"/>
                <w:bCs/>
                <w:sz w:val="20"/>
                <w:szCs w:val="20"/>
              </w:rPr>
              <w:t>schematem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dawkowania określonym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w Charakterystyce Produktu Leczniczego zawierającego sofosbuwir.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W przypadku, gdy w trakcie prowadzonej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terapii sofosbu</w:t>
            </w:r>
            <w:r w:rsidR="007D53EB" w:rsidRPr="00342604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>irem w skojarzeniu z interferonem pegylowanym i rybawiryną wystąpi nietolerancja interferonu</w:t>
            </w:r>
            <w:r w:rsidR="00725F8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dopuszczalne jest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zaprzestanie podawania 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interferonu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pegylowanego i kontynuacja terapii sofosbuwirem z rybawiryną do czasu określonego dla takiej terapii w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>Charakterystyce Produktu Leczniczego zawierającego sofosbuwir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D7C22" w:rsidRPr="003426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Interferon pegylowany i rybawiryna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w ilości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niezbędnej do prowadzenia terapii z użyciem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sofosbuwiru 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są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finansowane w ramach programu lekowego „Leczenie przewlekłego wirusowego zapalenia wątroby typu C (ICD-10 B 18.2)" </w:t>
            </w:r>
          </w:p>
          <w:p w14:paraId="387D621A" w14:textId="77777777" w:rsidR="004226D9" w:rsidRPr="00342604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D2944AE" w14:textId="77777777" w:rsidR="00D61FC0" w:rsidRPr="00342604" w:rsidRDefault="00D61FC0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Grazoprewir+elbaswir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dawkuje się zgodnie z odpowiednią Charakterystyką Produktu Leczniczego.</w:t>
            </w:r>
          </w:p>
          <w:p w14:paraId="733CA638" w14:textId="77777777" w:rsidR="00D61FC0" w:rsidRPr="00342604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grazoprewirem i elbaswirem, należy stosować zgodnie ze schematem dawkowania określonym w Charakterystyce Produktu Leczniczego zawierającego grazoprewir+elbaswir.</w:t>
            </w:r>
          </w:p>
          <w:p w14:paraId="78C19878" w14:textId="77777777" w:rsidR="00D61FC0" w:rsidRPr="00342604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Rybawiryna w ilości niezbędnej do prowadzenia terapii z użyciem tych leków jest finansowana w ramach programu lekowego „Leczenie przewlekłego wirusowego zapalenia wątroby typu C (ICD-10 B 18.2)" - załącznik B.2. do obwieszczenia Ministra Zdrowia.</w:t>
            </w:r>
          </w:p>
          <w:p w14:paraId="23C4D7F5" w14:textId="77777777" w:rsidR="006E40EB" w:rsidRPr="00342604" w:rsidRDefault="006E40EB" w:rsidP="006E40EB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Glekaprewir+pibrentaswir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dawkuje się zgodnie z odpowiednią Charakterystyką Produktu Leczniczego.</w:t>
            </w:r>
          </w:p>
          <w:p w14:paraId="6B0B18D7" w14:textId="77777777" w:rsidR="006E40EB" w:rsidRPr="00342604" w:rsidRDefault="006E40EB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03239D" w14:textId="77777777" w:rsidR="00D61FC0" w:rsidRPr="00342604" w:rsidRDefault="00D61FC0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6CB" w14:textId="77777777" w:rsidR="004226D9" w:rsidRPr="00342604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Badania przy kwalifikacji do leczenia:</w:t>
            </w:r>
          </w:p>
          <w:p w14:paraId="31635B89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HCV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 xml:space="preserve"> RNA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metodą ilościową;</w:t>
            </w:r>
          </w:p>
          <w:p w14:paraId="4BBB5CAD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DDF44BE" w14:textId="77777777" w:rsidR="003926D5" w:rsidRPr="00342604" w:rsidRDefault="008C520F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AT</w:t>
            </w:r>
            <w:r w:rsidR="003926D5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18F8C9" w14:textId="34B7B674" w:rsidR="004226D9" w:rsidRPr="00342604" w:rsidRDefault="0037036E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albumin;</w:t>
            </w:r>
          </w:p>
          <w:p w14:paraId="7D0D19C6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bilirubiny;</w:t>
            </w:r>
          </w:p>
          <w:p w14:paraId="7AA2AA5A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czas lub wskaźnik protrombinowy;</w:t>
            </w:r>
          </w:p>
          <w:p w14:paraId="16F76BC2" w14:textId="77777777" w:rsidR="004226D9" w:rsidRPr="00342604" w:rsidRDefault="00B1697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poziomu kreatyniny;</w:t>
            </w:r>
          </w:p>
          <w:p w14:paraId="2CED9D63" w14:textId="54C16356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przeciwciał anty-HIV</w:t>
            </w:r>
            <w:r w:rsidR="003A4FF2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BBA360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antygenu HBs;</w:t>
            </w:r>
          </w:p>
          <w:p w14:paraId="63776D7E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USG jamy brzusznej (jeśli nie było wykonywane w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okresie ostatnich 6 miesięcy);</w:t>
            </w:r>
          </w:p>
          <w:p w14:paraId="46C12DA2" w14:textId="722A183D" w:rsidR="004226D9" w:rsidRPr="00342604" w:rsidRDefault="004226D9" w:rsidP="0046790F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badanie określające zaawansowanie włóknienia wątroby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- elastografia wątroby wykonana techniką umożliwiającą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pomiar ilościowy w kPa lub biopsja wątroby (jeśli nie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było wykonywane wcześniej);</w:t>
            </w:r>
          </w:p>
          <w:p w14:paraId="7C00757E" w14:textId="77777777" w:rsidR="00A5102F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genotypu HCV (z podtypem w przypadku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genotypu 1) - jeśli nie było wykonywane wcześniej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A85437" w14:textId="77777777" w:rsidR="00517F20" w:rsidRPr="00342604" w:rsidRDefault="001C243F" w:rsidP="00612C4F">
            <w:pPr>
              <w:spacing w:line="276" w:lineRule="auto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>W przypadku kwalifikacji</w:t>
            </w:r>
            <w:r w:rsidR="00A5102F" w:rsidRPr="00342604">
              <w:rPr>
                <w:sz w:val="20"/>
                <w:szCs w:val="20"/>
              </w:rPr>
              <w:t xml:space="preserve"> do terapii sofosbuwirem w skojarzeniu z interferonem pegylowanym i rybawiryną </w:t>
            </w:r>
            <w:r w:rsidRPr="00342604">
              <w:rPr>
                <w:sz w:val="20"/>
                <w:szCs w:val="20"/>
              </w:rPr>
              <w:t>wykonuje się wyłącznie</w:t>
            </w:r>
            <w:r w:rsidR="00A5102F" w:rsidRPr="00342604">
              <w:rPr>
                <w:sz w:val="20"/>
                <w:szCs w:val="20"/>
              </w:rPr>
              <w:t xml:space="preserve"> „</w:t>
            </w:r>
            <w:r w:rsidR="00F33D9B" w:rsidRPr="00342604">
              <w:rPr>
                <w:bCs/>
                <w:sz w:val="20"/>
                <w:szCs w:val="20"/>
              </w:rPr>
              <w:t>Badania przy kwalifikacji do leczenia interferonami</w:t>
            </w:r>
            <w:r w:rsidR="00A5102F" w:rsidRPr="00342604">
              <w:rPr>
                <w:sz w:val="20"/>
                <w:szCs w:val="20"/>
              </w:rPr>
              <w:t xml:space="preserve">” określone i finansowane w ramach programu lekowego </w:t>
            </w:r>
            <w:r w:rsidR="00A5102F" w:rsidRPr="00342604">
              <w:rPr>
                <w:bCs/>
                <w:sz w:val="20"/>
                <w:szCs w:val="20"/>
              </w:rPr>
              <w:t>„Leczenie przewlekłego wirusowego zapalenia wątroby typu C (ICD-10 B 18.2)" -</w:t>
            </w:r>
            <w:r w:rsidR="00C54EC7" w:rsidRPr="00342604">
              <w:rPr>
                <w:bCs/>
                <w:sz w:val="20"/>
                <w:szCs w:val="20"/>
              </w:rPr>
              <w:t xml:space="preserve"> </w:t>
            </w:r>
            <w:r w:rsidR="00A5102F" w:rsidRPr="00342604">
              <w:rPr>
                <w:bCs/>
                <w:sz w:val="20"/>
                <w:szCs w:val="20"/>
              </w:rPr>
              <w:t>załącznik B.2 do obwieszczenia Ministra Zdrowia.</w:t>
            </w:r>
          </w:p>
          <w:p w14:paraId="2CB39C1F" w14:textId="77777777" w:rsidR="00FD2978" w:rsidRPr="00342604" w:rsidRDefault="00777BFC" w:rsidP="00612C4F">
            <w:pPr>
              <w:spacing w:line="276" w:lineRule="auto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lastRenderedPageBreak/>
              <w:tab/>
            </w:r>
            <w:r w:rsidRPr="00342604">
              <w:rPr>
                <w:sz w:val="20"/>
                <w:szCs w:val="20"/>
              </w:rPr>
              <w:tab/>
            </w:r>
          </w:p>
          <w:p w14:paraId="01791873" w14:textId="77777777" w:rsidR="004226D9" w:rsidRPr="00342604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Monitorowanie leczenia:</w:t>
            </w:r>
          </w:p>
          <w:p w14:paraId="1DAB9652" w14:textId="77777777" w:rsidR="00B36FAE" w:rsidRPr="00342604" w:rsidRDefault="00B36FAE" w:rsidP="00B36FAE">
            <w:pPr>
              <w:pStyle w:val="Akapitzlist"/>
              <w:widowControl w:val="0"/>
              <w:spacing w:after="0"/>
              <w:ind w:left="357" w:hanging="357"/>
              <w:rPr>
                <w:rFonts w:ascii="Times New Roman" w:hAnsi="Times New Roman" w:cstheme="majorBidi"/>
                <w:b/>
                <w:bCs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2.1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 Monitorowanie terapii ombitaswirem, parytaprewirem, rytonawirem w skojarzeniu z dazabuwirem (i ewentualnie rybawiryną) albo ombitaswirem, parytaprewirem, rytonawirem w skojarzeniu z rybawiryną, albo sofosbuwirem w skojarzeniu z rybawiryną,:</w:t>
            </w:r>
          </w:p>
          <w:p w14:paraId="5AB29783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106B6C20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041FB63C" w14:textId="22D72B59" w:rsidR="00B36FAE" w:rsidRPr="00342604" w:rsidRDefault="001A6039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4F9ECE86" w14:textId="6D2AEE98" w:rsidR="00B36FAE" w:rsidRPr="00342604" w:rsidRDefault="00675622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bilirubiny;</w:t>
            </w:r>
          </w:p>
          <w:p w14:paraId="1A65C366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4D05D5ED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w 12, 16 i 24 tygodniu:</w:t>
            </w:r>
          </w:p>
          <w:p w14:paraId="73ECD5F0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5FD84728" w14:textId="2110608A" w:rsidR="00B36FAE" w:rsidRPr="00342604" w:rsidRDefault="001A6039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072EA3D3" w14:textId="3EBB44E2" w:rsidR="00B36FAE" w:rsidRPr="00342604" w:rsidRDefault="00675622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 (w 4 tygodniu terapii) – w przypadku występowania zwiększonego stężenia w 4 tygodniu terapii, wskazane jest powtórzyć oznaczenia odpowiednio w 8 tygodniu oraz (jeżeli dotyczy) w 12, 16 i 24 tygodniu;</w:t>
            </w:r>
          </w:p>
          <w:p w14:paraId="234F8469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ostatnim dniu leczenia (w 8, 12 albo 24 tygodniu terapii):</w:t>
            </w:r>
          </w:p>
          <w:p w14:paraId="3C9770CF" w14:textId="69570059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HCV RNA metodą jakościową</w:t>
            </w:r>
            <w:r w:rsidR="0038490E"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lub ilościową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18CF85AD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6C47F478" w14:textId="72E57684" w:rsidR="00B36FAE" w:rsidRPr="00342604" w:rsidRDefault="00B36FAE" w:rsidP="00B36FAE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po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12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tygodniach od zakończenia leczenia (w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20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24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albo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36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tygodniu terapii):</w:t>
            </w:r>
          </w:p>
          <w:p w14:paraId="1F7A8965" w14:textId="77777777" w:rsidR="00B36FAE" w:rsidRPr="00342604" w:rsidRDefault="00B36FAE" w:rsidP="00B36FA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oznaczenie HCV RNA metodą jakościową.</w:t>
            </w:r>
          </w:p>
          <w:p w14:paraId="3AF5AD73" w14:textId="39D89BA9" w:rsidR="00F33D9B" w:rsidRPr="00342604" w:rsidRDefault="009023E7" w:rsidP="00F33D9B">
            <w:pPr>
              <w:pStyle w:val="Akapitzlist"/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lastRenderedPageBreak/>
              <w:t>2.2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.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Monitorowanie terapii </w:t>
            </w:r>
            <w:r w:rsidR="004F0615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sofosbuwirem w skojarzeniu z ledipaswirem</w:t>
            </w:r>
            <w:r w:rsidR="00597BE8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lub welpataswirem</w:t>
            </w:r>
            <w:r w:rsidR="004F0615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(i ewentualnie rybawiryną):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</w:p>
          <w:p w14:paraId="7E0BF2BC" w14:textId="77777777" w:rsidR="004226D9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1 dniu, przed podaniem leków:</w:t>
            </w:r>
          </w:p>
          <w:p w14:paraId="2B6C0DF5" w14:textId="77777777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B604CFD" w14:textId="189C4161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oznaczenie aktywności </w:t>
            </w:r>
            <w:r w:rsidR="001A6039" w:rsidRPr="00342604">
              <w:rPr>
                <w:rFonts w:ascii="Times New Roman" w:hAnsi="Times New Roman"/>
                <w:sz w:val="20"/>
                <w:szCs w:val="20"/>
              </w:rPr>
              <w:t>Al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68766FB5" w14:textId="25C40E6D" w:rsidR="004226D9" w:rsidRPr="00342604" w:rsidRDefault="00675622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</w:t>
            </w:r>
            <w:r w:rsidR="00706419" w:rsidRPr="00342604">
              <w:rPr>
                <w:rFonts w:ascii="Times New Roman" w:hAnsi="Times New Roman"/>
                <w:sz w:val="20"/>
                <w:szCs w:val="20"/>
              </w:rPr>
              <w:t>nie stężenia bilirubiny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A85EE1" w14:textId="3D068403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304C9556" w14:textId="77777777" w:rsidR="004226D9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w 4, 8, tygodniu oraz </w:t>
            </w:r>
            <w:r w:rsidR="00651E1D" w:rsidRPr="00342604">
              <w:rPr>
                <w:rFonts w:ascii="Times New Roman" w:hAnsi="Times New Roman"/>
                <w:sz w:val="20"/>
                <w:szCs w:val="20"/>
              </w:rPr>
              <w:t>(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>j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eżeli dotyczy</w:t>
            </w:r>
            <w:r w:rsidR="00651E1D" w:rsidRPr="00342604">
              <w:rPr>
                <w:rFonts w:ascii="Times New Roman" w:hAnsi="Times New Roman"/>
                <w:sz w:val="20"/>
                <w:szCs w:val="20"/>
              </w:rPr>
              <w:t>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4F0615" w:rsidRPr="00342604">
              <w:rPr>
                <w:rFonts w:ascii="Times New Roman" w:hAnsi="Times New Roman"/>
                <w:sz w:val="20"/>
                <w:szCs w:val="20"/>
              </w:rPr>
              <w:t xml:space="preserve"> 12,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16 i 24 tygodniu:</w:t>
            </w:r>
          </w:p>
          <w:p w14:paraId="0509D58B" w14:textId="77777777" w:rsidR="004226D9" w:rsidRPr="00342604" w:rsidRDefault="004226D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551EC0B" w14:textId="2EDA398C" w:rsidR="004226D9" w:rsidRPr="00342604" w:rsidRDefault="001A603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73134B06" w14:textId="77777777" w:rsidR="005974CD" w:rsidRPr="00342604" w:rsidRDefault="005974CD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4 tygodniu</w:t>
            </w:r>
          </w:p>
          <w:p w14:paraId="46322648" w14:textId="6E7CE715" w:rsidR="005974CD" w:rsidRPr="00342604" w:rsidRDefault="005974CD" w:rsidP="0046790F">
            <w:pPr>
              <w:pStyle w:val="Akapitzlist"/>
              <w:numPr>
                <w:ilvl w:val="0"/>
                <w:numId w:val="37"/>
              </w:numPr>
              <w:spacing w:after="0"/>
              <w:ind w:left="8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bilirubiny – w przypadku występowania zwiększonego stężenia w 4 tygodniu terapii</w:t>
            </w:r>
            <w:r w:rsidR="003E561E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powtórzyć oznacz</w:t>
            </w:r>
            <w:r w:rsidR="003E561E" w:rsidRPr="00342604">
              <w:rPr>
                <w:rFonts w:ascii="Times New Roman" w:hAnsi="Times New Roman"/>
                <w:sz w:val="20"/>
                <w:szCs w:val="20"/>
              </w:rPr>
              <w:t>enia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w 8 tyg. oraz jeżeli dotyczy w 12,16 i 24 tyg.</w:t>
            </w:r>
          </w:p>
          <w:p w14:paraId="35D47632" w14:textId="77777777" w:rsidR="00CC1C5D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 zakończenie lecze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>nia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>w 8, 12 lub 24 tygodniu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 xml:space="preserve"> terapii): </w:t>
            </w:r>
          </w:p>
          <w:p w14:paraId="50522F1C" w14:textId="0EBC027B" w:rsidR="004226D9" w:rsidRPr="00342604" w:rsidRDefault="004226D9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HCV RNA metodą ja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>kościową lub ilościową,</w:t>
            </w:r>
          </w:p>
          <w:p w14:paraId="5DB7ED64" w14:textId="4B94D0EB" w:rsidR="00CC1C5D" w:rsidRPr="00342604" w:rsidRDefault="00CC1C5D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USG jamy brzusznej;</w:t>
            </w:r>
          </w:p>
          <w:p w14:paraId="7BE636AF" w14:textId="6A17E166" w:rsidR="004226D9" w:rsidRPr="00342604" w:rsidRDefault="00706419" w:rsidP="00404D79">
            <w:pPr>
              <w:pStyle w:val="Akapitzlist"/>
              <w:numPr>
                <w:ilvl w:val="0"/>
                <w:numId w:val="6"/>
              </w:numPr>
              <w:ind w:left="356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po 12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tygo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dniach od zakończenia leczenia (w 20, 24 lub 36 tygodniu terapii) 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wykonać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oznaczenie HCV RNA metodą jakościową </w:t>
            </w:r>
            <w:r w:rsidR="00FD2978" w:rsidRPr="00342604">
              <w:rPr>
                <w:rFonts w:ascii="Times New Roman" w:hAnsi="Times New Roman"/>
                <w:sz w:val="20"/>
                <w:szCs w:val="20"/>
              </w:rPr>
              <w:t>oraz ewentualnie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USG jamy brzusznej</w:t>
            </w:r>
            <w:r w:rsidR="009438AD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B138D3" w14:textId="77777777" w:rsidR="00DE248E" w:rsidRPr="00342604" w:rsidRDefault="006C1B22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Monitorowanie terapii sofosbuwirem w skojarzeniu z interferonem pegylowanym i rybawiryną polega na monitorowaniu terapii interferonowej opisanej i finansowanej w ramach programu  „Leczenie przewlekłego wirusowego zapalenia wątroby typu C (ICD-10 B 18.2)" -</w:t>
            </w:r>
            <w:r w:rsidR="00E62CB6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załącznik B.2 do obwieszczenia Ministra Zdrowia 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 uwzględnieniem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czasu 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w/w terapii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określony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w </w:t>
            </w:r>
            <w:r w:rsidR="00F40101" w:rsidRPr="0034260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Charakterystyce Produktu Leczniczego zawierającego sofosbuwir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14:paraId="27DDABC7" w14:textId="77777777" w:rsidR="002C4E34" w:rsidRPr="00342604" w:rsidRDefault="00DE248E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grazoprewirem+elbaswirem (i ewentualnie rybawiryną):</w:t>
            </w:r>
          </w:p>
          <w:p w14:paraId="7E13C2D0" w14:textId="77777777" w:rsidR="00DE248E" w:rsidRPr="00342604" w:rsidRDefault="00DE248E" w:rsidP="009E2C03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57259761" w14:textId="7A6103A1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morfologia 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krwi;</w:t>
            </w:r>
          </w:p>
          <w:p w14:paraId="582D3AC8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0AF6EAA6" w14:textId="3D94AB49" w:rsidR="00675622" w:rsidRPr="00342604" w:rsidRDefault="00675622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5A34DCA0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3900DB63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8, 12 tygodniu (oraz 16 tygodniu - w przypadku terapii trwającej 16 tygodni):</w:t>
            </w:r>
          </w:p>
          <w:p w14:paraId="70ED4911" w14:textId="049BFF01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5A1904CA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4A5DAFC6" w14:textId="072D17CC" w:rsidR="00675622" w:rsidRPr="00342604" w:rsidRDefault="00675622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2D456956" w14:textId="77777777" w:rsidR="00CC1C5D" w:rsidRPr="00342604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na zakończenie leczenia</w:t>
            </w:r>
            <w:r w:rsidR="00CC1C5D" w:rsidRPr="00342604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14:paraId="0CD99DB7" w14:textId="6760C77E" w:rsidR="00DE248E" w:rsidRPr="00342604" w:rsidRDefault="00DE248E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oznaczenie HCV RNA </w:t>
            </w:r>
            <w:r w:rsidR="00CC1C5D" w:rsidRPr="00342604">
              <w:rPr>
                <w:rFonts w:ascii="Times New Roman" w:hAnsi="Times New Roman"/>
                <w:spacing w:val="1"/>
                <w:sz w:val="20"/>
                <w:szCs w:val="20"/>
              </w:rPr>
              <w:t>metodą jakościową lub ilościową,</w:t>
            </w:r>
          </w:p>
          <w:p w14:paraId="06D212D4" w14:textId="76961352" w:rsidR="00CC1C5D" w:rsidRPr="00342604" w:rsidRDefault="00CC1C5D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13843147" w14:textId="54CD419E" w:rsidR="00DE248E" w:rsidRPr="00342604" w:rsidRDefault="00DE248E" w:rsidP="00404D79">
            <w:pPr>
              <w:pStyle w:val="Akapitzlist"/>
              <w:numPr>
                <w:ilvl w:val="0"/>
                <w:numId w:val="33"/>
              </w:numPr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po 12 tygodniach od zakończenia leczenia (w 24 albo 28 tygodniu terapii) wykonać oznaczenie HCV RNA metodą jakościową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.</w:t>
            </w:r>
          </w:p>
          <w:p w14:paraId="23EA5267" w14:textId="77777777" w:rsidR="006E40EB" w:rsidRPr="00342604" w:rsidRDefault="006E40EB" w:rsidP="006E40EB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glekaprewirem+pibrentaswirem:</w:t>
            </w:r>
          </w:p>
          <w:p w14:paraId="6F68088A" w14:textId="77777777" w:rsidR="006E40EB" w:rsidRPr="00342604" w:rsidRDefault="006E40EB" w:rsidP="006E40EB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051C8F25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33AC3F68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72093EC3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67B9B1B4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59E331C3" w14:textId="77777777" w:rsidR="006E40EB" w:rsidRPr="00342604" w:rsidRDefault="006E40EB" w:rsidP="006E40EB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12, 16 tygodniu:</w:t>
            </w:r>
          </w:p>
          <w:p w14:paraId="7BF8EAD7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1756349E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612D4446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oznaczenie stężenia bilirubiny (w 4 tygodniu terapii) – w przypadku występowania 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zwiększonego stężenia w 4 tygodniu terapii, wskazane jest powtórzyć oznaczenia odpowiednio w 8 tygodniu oraz (jeżeli dotyczy) 12, 16 tygodniu;</w:t>
            </w:r>
          </w:p>
          <w:p w14:paraId="20A11815" w14:textId="77777777" w:rsidR="006E40EB" w:rsidRPr="00342604" w:rsidRDefault="006E40EB" w:rsidP="006E40EB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na zakończenie leczenia: </w:t>
            </w:r>
          </w:p>
          <w:p w14:paraId="5F25B19F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40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HCV RNA metodą jakościową lub ilościową,</w:t>
            </w:r>
          </w:p>
          <w:p w14:paraId="441C125A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40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2806B213" w14:textId="24FDBB43" w:rsidR="006E40EB" w:rsidRPr="00342604" w:rsidRDefault="0005344F">
            <w:pPr>
              <w:pStyle w:val="Akapitzlist"/>
              <w:numPr>
                <w:ilvl w:val="0"/>
                <w:numId w:val="33"/>
              </w:numPr>
              <w:ind w:left="356"/>
            </w:pPr>
            <w:r w:rsidRPr="00342604">
              <w:t>po 12 tygodniach od zakończenia leczenia (w 20 albo 24 albo 28 tygodniu terapii) wykonać oznaczenie HCV RNA metodą jakościową.</w:t>
            </w:r>
          </w:p>
          <w:p w14:paraId="51632252" w14:textId="77777777" w:rsidR="004F0615" w:rsidRPr="00342604" w:rsidRDefault="004F0615" w:rsidP="00725F8A">
            <w:pPr>
              <w:pStyle w:val="Akapitzlist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  <w:p w14:paraId="63288019" w14:textId="77777777" w:rsidR="000F750B" w:rsidRPr="00342604" w:rsidRDefault="000F750B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Monitorowanie programu:</w:t>
            </w:r>
          </w:p>
          <w:p w14:paraId="23C736E5" w14:textId="77777777" w:rsidR="000F750B" w:rsidRPr="00342604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2C91B3AD" w14:textId="77777777" w:rsidR="000F750B" w:rsidRPr="00342604" w:rsidRDefault="0020287F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14:paraId="6CA6CE6F" w14:textId="77777777" w:rsidR="000F750B" w:rsidRPr="00342604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FB71EF7" w14:textId="0CF370CD" w:rsidR="00C52F67" w:rsidRPr="00342604" w:rsidRDefault="00C52F67" w:rsidP="00D25BF6">
      <w:pPr>
        <w:pStyle w:val="Style2"/>
        <w:widowControl/>
        <w:spacing w:before="5"/>
        <w:rPr>
          <w:b/>
        </w:rPr>
      </w:pPr>
    </w:p>
    <w:sectPr w:rsidR="00C52F67" w:rsidRPr="00342604" w:rsidSect="00342604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192A5" w14:textId="77777777" w:rsidR="00FC529D" w:rsidRDefault="00FC529D" w:rsidP="00913AAA">
      <w:r>
        <w:separator/>
      </w:r>
    </w:p>
  </w:endnote>
  <w:endnote w:type="continuationSeparator" w:id="0">
    <w:p w14:paraId="2B582B71" w14:textId="77777777" w:rsidR="00FC529D" w:rsidRDefault="00FC529D" w:rsidP="00913AAA">
      <w:r>
        <w:continuationSeparator/>
      </w:r>
    </w:p>
  </w:endnote>
  <w:endnote w:type="continuationNotice" w:id="1">
    <w:p w14:paraId="126AACE1" w14:textId="77777777" w:rsidR="00FC529D" w:rsidRDefault="00FC5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B3F8" w14:textId="77777777" w:rsidR="00FC529D" w:rsidRDefault="00FC529D" w:rsidP="00913AAA">
      <w:r>
        <w:separator/>
      </w:r>
    </w:p>
  </w:footnote>
  <w:footnote w:type="continuationSeparator" w:id="0">
    <w:p w14:paraId="450E0A72" w14:textId="77777777" w:rsidR="00FC529D" w:rsidRDefault="00FC529D" w:rsidP="00913AAA">
      <w:r>
        <w:continuationSeparator/>
      </w:r>
    </w:p>
  </w:footnote>
  <w:footnote w:type="continuationNotice" w:id="1">
    <w:p w14:paraId="7170C0F0" w14:textId="77777777" w:rsidR="00FC529D" w:rsidRDefault="00FC5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40"/>
    <w:multiLevelType w:val="hybridMultilevel"/>
    <w:tmpl w:val="4E98A1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454931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9E3"/>
    <w:multiLevelType w:val="hybridMultilevel"/>
    <w:tmpl w:val="7DC4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2EB"/>
    <w:multiLevelType w:val="multilevel"/>
    <w:tmpl w:val="E1A2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60A4ED2"/>
    <w:multiLevelType w:val="hybridMultilevel"/>
    <w:tmpl w:val="70EEDA8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6767F80"/>
    <w:multiLevelType w:val="hybridMultilevel"/>
    <w:tmpl w:val="37FC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68FF"/>
    <w:multiLevelType w:val="hybridMultilevel"/>
    <w:tmpl w:val="9A84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64C"/>
    <w:multiLevelType w:val="hybridMultilevel"/>
    <w:tmpl w:val="BB0AF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2F48"/>
    <w:multiLevelType w:val="hybridMultilevel"/>
    <w:tmpl w:val="2CD09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1E90"/>
    <w:multiLevelType w:val="hybridMultilevel"/>
    <w:tmpl w:val="6BE82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92F52"/>
    <w:multiLevelType w:val="hybridMultilevel"/>
    <w:tmpl w:val="4238B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5C82"/>
    <w:multiLevelType w:val="hybridMultilevel"/>
    <w:tmpl w:val="88B29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95511"/>
    <w:multiLevelType w:val="hybridMultilevel"/>
    <w:tmpl w:val="53A2C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45870"/>
    <w:multiLevelType w:val="hybridMultilevel"/>
    <w:tmpl w:val="12606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B7A59"/>
    <w:multiLevelType w:val="hybridMultilevel"/>
    <w:tmpl w:val="0100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238E"/>
    <w:multiLevelType w:val="hybridMultilevel"/>
    <w:tmpl w:val="EBD4E1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D10A2C"/>
    <w:multiLevelType w:val="hybridMultilevel"/>
    <w:tmpl w:val="DBF4D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536A7"/>
    <w:multiLevelType w:val="hybridMultilevel"/>
    <w:tmpl w:val="9104E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C7F07"/>
    <w:multiLevelType w:val="hybridMultilevel"/>
    <w:tmpl w:val="EBF80F9A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F7E30"/>
    <w:multiLevelType w:val="hybridMultilevel"/>
    <w:tmpl w:val="DC94BD0E"/>
    <w:lvl w:ilvl="0" w:tplc="7D0A74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31F7"/>
    <w:multiLevelType w:val="hybridMultilevel"/>
    <w:tmpl w:val="21AE8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287A"/>
    <w:multiLevelType w:val="hybridMultilevel"/>
    <w:tmpl w:val="0276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238C5"/>
    <w:multiLevelType w:val="hybridMultilevel"/>
    <w:tmpl w:val="43CE8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465E6"/>
    <w:multiLevelType w:val="hybridMultilevel"/>
    <w:tmpl w:val="CF3000B0"/>
    <w:lvl w:ilvl="0" w:tplc="823E26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496"/>
    <w:multiLevelType w:val="hybridMultilevel"/>
    <w:tmpl w:val="FABA4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214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26A0C9B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440A7"/>
    <w:multiLevelType w:val="hybridMultilevel"/>
    <w:tmpl w:val="20526A14"/>
    <w:lvl w:ilvl="0" w:tplc="E18C765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F257F45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1FF7"/>
    <w:multiLevelType w:val="hybridMultilevel"/>
    <w:tmpl w:val="B8D6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91A6A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3E43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98F0A77"/>
    <w:multiLevelType w:val="hybridMultilevel"/>
    <w:tmpl w:val="314A4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308DF"/>
    <w:multiLevelType w:val="hybridMultilevel"/>
    <w:tmpl w:val="0CD2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07D9"/>
    <w:multiLevelType w:val="hybridMultilevel"/>
    <w:tmpl w:val="0A0829A6"/>
    <w:lvl w:ilvl="0" w:tplc="69B4829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5" w15:restartNumberingAfterBreak="0">
    <w:nsid w:val="669C42AC"/>
    <w:multiLevelType w:val="hybridMultilevel"/>
    <w:tmpl w:val="E91A385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6" w15:restartNumberingAfterBreak="0">
    <w:nsid w:val="74B052DB"/>
    <w:multiLevelType w:val="hybridMultilevel"/>
    <w:tmpl w:val="BB9CFF4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C6FA2"/>
    <w:multiLevelType w:val="hybridMultilevel"/>
    <w:tmpl w:val="F3CED48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73E9E"/>
    <w:multiLevelType w:val="hybridMultilevel"/>
    <w:tmpl w:val="0B0E9A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80E73EA"/>
    <w:multiLevelType w:val="hybridMultilevel"/>
    <w:tmpl w:val="36581B06"/>
    <w:lvl w:ilvl="0" w:tplc="0F36E3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1"/>
  </w:num>
  <w:num w:numId="5">
    <w:abstractNumId w:val="16"/>
  </w:num>
  <w:num w:numId="6">
    <w:abstractNumId w:val="35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32"/>
  </w:num>
  <w:num w:numId="12">
    <w:abstractNumId w:val="18"/>
  </w:num>
  <w:num w:numId="13">
    <w:abstractNumId w:val="19"/>
  </w:num>
  <w:num w:numId="14">
    <w:abstractNumId w:val="29"/>
  </w:num>
  <w:num w:numId="15">
    <w:abstractNumId w:val="37"/>
  </w:num>
  <w:num w:numId="16">
    <w:abstractNumId w:val="8"/>
  </w:num>
  <w:num w:numId="17">
    <w:abstractNumId w:val="36"/>
  </w:num>
  <w:num w:numId="18">
    <w:abstractNumId w:val="0"/>
  </w:num>
  <w:num w:numId="19">
    <w:abstractNumId w:val="33"/>
  </w:num>
  <w:num w:numId="20">
    <w:abstractNumId w:val="38"/>
  </w:num>
  <w:num w:numId="21">
    <w:abstractNumId w:val="4"/>
  </w:num>
  <w:num w:numId="22">
    <w:abstractNumId w:val="15"/>
  </w:num>
  <w:num w:numId="23">
    <w:abstractNumId w:val="5"/>
  </w:num>
  <w:num w:numId="24">
    <w:abstractNumId w:val="17"/>
  </w:num>
  <w:num w:numId="25">
    <w:abstractNumId w:val="24"/>
  </w:num>
  <w:num w:numId="26">
    <w:abstractNumId w:val="20"/>
  </w:num>
  <w:num w:numId="27">
    <w:abstractNumId w:val="10"/>
  </w:num>
  <w:num w:numId="28">
    <w:abstractNumId w:val="2"/>
  </w:num>
  <w:num w:numId="29">
    <w:abstractNumId w:val="9"/>
  </w:num>
  <w:num w:numId="30">
    <w:abstractNumId w:val="22"/>
  </w:num>
  <w:num w:numId="31">
    <w:abstractNumId w:val="27"/>
  </w:num>
  <w:num w:numId="32">
    <w:abstractNumId w:val="1"/>
  </w:num>
  <w:num w:numId="33">
    <w:abstractNumId w:val="23"/>
  </w:num>
  <w:num w:numId="34">
    <w:abstractNumId w:val="30"/>
  </w:num>
  <w:num w:numId="35">
    <w:abstractNumId w:val="39"/>
  </w:num>
  <w:num w:numId="36">
    <w:abstractNumId w:val="25"/>
  </w:num>
  <w:num w:numId="37">
    <w:abstractNumId w:val="34"/>
  </w:num>
  <w:num w:numId="38">
    <w:abstractNumId w:val="26"/>
  </w:num>
  <w:num w:numId="39">
    <w:abstractNumId w:val="28"/>
  </w:num>
  <w:num w:numId="40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12"/>
    <w:rsid w:val="00000643"/>
    <w:rsid w:val="00003256"/>
    <w:rsid w:val="00046335"/>
    <w:rsid w:val="0005344F"/>
    <w:rsid w:val="000869B0"/>
    <w:rsid w:val="00094467"/>
    <w:rsid w:val="000A0490"/>
    <w:rsid w:val="000B2708"/>
    <w:rsid w:val="000F2BDF"/>
    <w:rsid w:val="000F4C3E"/>
    <w:rsid w:val="000F5F7F"/>
    <w:rsid w:val="000F750B"/>
    <w:rsid w:val="00100A37"/>
    <w:rsid w:val="001357D6"/>
    <w:rsid w:val="001400C6"/>
    <w:rsid w:val="001415E6"/>
    <w:rsid w:val="0015222E"/>
    <w:rsid w:val="001A6039"/>
    <w:rsid w:val="001A6A05"/>
    <w:rsid w:val="001B43E5"/>
    <w:rsid w:val="001C243F"/>
    <w:rsid w:val="001E2E25"/>
    <w:rsid w:val="001F73BF"/>
    <w:rsid w:val="00201A12"/>
    <w:rsid w:val="0020287F"/>
    <w:rsid w:val="002818A3"/>
    <w:rsid w:val="002A2D05"/>
    <w:rsid w:val="002A659C"/>
    <w:rsid w:val="002A7E67"/>
    <w:rsid w:val="002B6B12"/>
    <w:rsid w:val="002C4E34"/>
    <w:rsid w:val="0031597D"/>
    <w:rsid w:val="00342604"/>
    <w:rsid w:val="003558AD"/>
    <w:rsid w:val="0037036E"/>
    <w:rsid w:val="0038490E"/>
    <w:rsid w:val="003926D5"/>
    <w:rsid w:val="003A1059"/>
    <w:rsid w:val="003A4FF2"/>
    <w:rsid w:val="003E561E"/>
    <w:rsid w:val="00404D79"/>
    <w:rsid w:val="00407D55"/>
    <w:rsid w:val="00411732"/>
    <w:rsid w:val="004226D9"/>
    <w:rsid w:val="00430939"/>
    <w:rsid w:val="0043324A"/>
    <w:rsid w:val="00434D4C"/>
    <w:rsid w:val="0046790F"/>
    <w:rsid w:val="004C182B"/>
    <w:rsid w:val="004E2D35"/>
    <w:rsid w:val="004F0615"/>
    <w:rsid w:val="004F1712"/>
    <w:rsid w:val="004F72E8"/>
    <w:rsid w:val="00513883"/>
    <w:rsid w:val="00513B65"/>
    <w:rsid w:val="005158AB"/>
    <w:rsid w:val="00517F20"/>
    <w:rsid w:val="00521693"/>
    <w:rsid w:val="00537457"/>
    <w:rsid w:val="005525E9"/>
    <w:rsid w:val="0058394C"/>
    <w:rsid w:val="0059283F"/>
    <w:rsid w:val="005974CD"/>
    <w:rsid w:val="00597BE8"/>
    <w:rsid w:val="005A3B5B"/>
    <w:rsid w:val="005C04F5"/>
    <w:rsid w:val="005C4C92"/>
    <w:rsid w:val="005C7F87"/>
    <w:rsid w:val="005E7ED2"/>
    <w:rsid w:val="005F6058"/>
    <w:rsid w:val="00612C4F"/>
    <w:rsid w:val="00651E1D"/>
    <w:rsid w:val="00675622"/>
    <w:rsid w:val="006768D6"/>
    <w:rsid w:val="006A77AA"/>
    <w:rsid w:val="006B6526"/>
    <w:rsid w:val="006C1B22"/>
    <w:rsid w:val="006C4D75"/>
    <w:rsid w:val="006E40EB"/>
    <w:rsid w:val="00706419"/>
    <w:rsid w:val="00717EF9"/>
    <w:rsid w:val="00725F8A"/>
    <w:rsid w:val="00765D79"/>
    <w:rsid w:val="00777BFC"/>
    <w:rsid w:val="007C53C5"/>
    <w:rsid w:val="007D1A59"/>
    <w:rsid w:val="007D53EB"/>
    <w:rsid w:val="007D7064"/>
    <w:rsid w:val="007D75E6"/>
    <w:rsid w:val="007F41CA"/>
    <w:rsid w:val="00865166"/>
    <w:rsid w:val="00866296"/>
    <w:rsid w:val="008721CB"/>
    <w:rsid w:val="008A229F"/>
    <w:rsid w:val="008C520F"/>
    <w:rsid w:val="008D057B"/>
    <w:rsid w:val="008F7921"/>
    <w:rsid w:val="009023E7"/>
    <w:rsid w:val="00904799"/>
    <w:rsid w:val="00907303"/>
    <w:rsid w:val="00913AAA"/>
    <w:rsid w:val="009174F7"/>
    <w:rsid w:val="00922889"/>
    <w:rsid w:val="00927FEA"/>
    <w:rsid w:val="009438AD"/>
    <w:rsid w:val="00956373"/>
    <w:rsid w:val="00964651"/>
    <w:rsid w:val="009D6876"/>
    <w:rsid w:val="009E2C03"/>
    <w:rsid w:val="009E5506"/>
    <w:rsid w:val="009E6D50"/>
    <w:rsid w:val="00A0009F"/>
    <w:rsid w:val="00A056F5"/>
    <w:rsid w:val="00A162C8"/>
    <w:rsid w:val="00A44B14"/>
    <w:rsid w:val="00A5102F"/>
    <w:rsid w:val="00A86969"/>
    <w:rsid w:val="00A94DF9"/>
    <w:rsid w:val="00A96385"/>
    <w:rsid w:val="00AC66D4"/>
    <w:rsid w:val="00AF71C9"/>
    <w:rsid w:val="00B16979"/>
    <w:rsid w:val="00B2319A"/>
    <w:rsid w:val="00B32907"/>
    <w:rsid w:val="00B36FAE"/>
    <w:rsid w:val="00B541CE"/>
    <w:rsid w:val="00B718B0"/>
    <w:rsid w:val="00B92D8E"/>
    <w:rsid w:val="00B9696C"/>
    <w:rsid w:val="00BA3598"/>
    <w:rsid w:val="00BB49F8"/>
    <w:rsid w:val="00BE5A22"/>
    <w:rsid w:val="00BF2A36"/>
    <w:rsid w:val="00C04A5E"/>
    <w:rsid w:val="00C252D8"/>
    <w:rsid w:val="00C27AD7"/>
    <w:rsid w:val="00C347DC"/>
    <w:rsid w:val="00C3573A"/>
    <w:rsid w:val="00C51E26"/>
    <w:rsid w:val="00C52F67"/>
    <w:rsid w:val="00C54EC7"/>
    <w:rsid w:val="00C725CD"/>
    <w:rsid w:val="00C87E8E"/>
    <w:rsid w:val="00CA3704"/>
    <w:rsid w:val="00CC1C5D"/>
    <w:rsid w:val="00CD7C22"/>
    <w:rsid w:val="00CF4575"/>
    <w:rsid w:val="00D20D07"/>
    <w:rsid w:val="00D25756"/>
    <w:rsid w:val="00D25BF6"/>
    <w:rsid w:val="00D303C1"/>
    <w:rsid w:val="00D470B3"/>
    <w:rsid w:val="00D544CD"/>
    <w:rsid w:val="00D61FC0"/>
    <w:rsid w:val="00D74224"/>
    <w:rsid w:val="00DE248E"/>
    <w:rsid w:val="00DF3792"/>
    <w:rsid w:val="00E13A86"/>
    <w:rsid w:val="00E51524"/>
    <w:rsid w:val="00E62CB6"/>
    <w:rsid w:val="00E82BFD"/>
    <w:rsid w:val="00ED76A6"/>
    <w:rsid w:val="00EF24BE"/>
    <w:rsid w:val="00F03C0B"/>
    <w:rsid w:val="00F12A78"/>
    <w:rsid w:val="00F33D9B"/>
    <w:rsid w:val="00F40101"/>
    <w:rsid w:val="00F55B4D"/>
    <w:rsid w:val="00F61817"/>
    <w:rsid w:val="00F6279E"/>
    <w:rsid w:val="00F96DC7"/>
    <w:rsid w:val="00FB60BE"/>
    <w:rsid w:val="00FC529D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76464"/>
  <w15:docId w15:val="{0C502647-A2A0-4D7D-A963-E8431C2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869B0"/>
    <w:rPr>
      <w:rFonts w:cs="Times New Roman"/>
      <w:color w:val="0000FF"/>
      <w:u w:val="single"/>
    </w:rPr>
  </w:style>
  <w:style w:type="paragraph" w:customStyle="1" w:styleId="Style1">
    <w:name w:val="Style1"/>
    <w:basedOn w:val="Normalny"/>
    <w:uiPriority w:val="99"/>
    <w:rsid w:val="006B6526"/>
    <w:pPr>
      <w:jc w:val="both"/>
    </w:pPr>
  </w:style>
  <w:style w:type="paragraph" w:customStyle="1" w:styleId="Style2">
    <w:name w:val="Style2"/>
    <w:basedOn w:val="Normalny"/>
    <w:uiPriority w:val="99"/>
    <w:rsid w:val="006B6526"/>
    <w:pPr>
      <w:spacing w:line="331" w:lineRule="exact"/>
      <w:jc w:val="both"/>
    </w:pPr>
  </w:style>
  <w:style w:type="paragraph" w:customStyle="1" w:styleId="Style4">
    <w:name w:val="Style4"/>
    <w:basedOn w:val="Normalny"/>
    <w:uiPriority w:val="99"/>
    <w:rsid w:val="006B6526"/>
    <w:pPr>
      <w:spacing w:line="266" w:lineRule="exact"/>
      <w:ind w:hanging="367"/>
    </w:pPr>
  </w:style>
  <w:style w:type="paragraph" w:customStyle="1" w:styleId="Style5">
    <w:name w:val="Style5"/>
    <w:basedOn w:val="Normalny"/>
    <w:uiPriority w:val="99"/>
    <w:rsid w:val="006B6526"/>
    <w:pPr>
      <w:spacing w:line="266" w:lineRule="exact"/>
    </w:pPr>
  </w:style>
  <w:style w:type="paragraph" w:customStyle="1" w:styleId="Style6">
    <w:name w:val="Style6"/>
    <w:basedOn w:val="Normalny"/>
    <w:uiPriority w:val="99"/>
    <w:rsid w:val="006B6526"/>
    <w:pPr>
      <w:spacing w:line="259" w:lineRule="exact"/>
      <w:ind w:hanging="353"/>
    </w:pPr>
  </w:style>
  <w:style w:type="paragraph" w:customStyle="1" w:styleId="Style7">
    <w:name w:val="Style7"/>
    <w:basedOn w:val="Normalny"/>
    <w:uiPriority w:val="99"/>
    <w:rsid w:val="006B6526"/>
    <w:pPr>
      <w:spacing w:line="266" w:lineRule="exact"/>
    </w:pPr>
  </w:style>
  <w:style w:type="character" w:customStyle="1" w:styleId="FontStyle19">
    <w:name w:val="Font Style19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6B6526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B1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22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D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D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ABC7F-1733-4948-877A-82ADA254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1743</Words>
  <Characters>11162</Characters>
  <Application>Microsoft Office Word</Application>
  <DocSecurity>0</DocSecurity>
  <Lines>93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Gilead Sciences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Mierzejewski</dc:creator>
  <cp:lastModifiedBy>Królak-Buzakowska Joanna</cp:lastModifiedBy>
  <cp:revision>2</cp:revision>
  <cp:lastPrinted>2018-07-16T11:55:00Z</cp:lastPrinted>
  <dcterms:created xsi:type="dcterms:W3CDTF">2018-12-19T02:15:00Z</dcterms:created>
  <dcterms:modified xsi:type="dcterms:W3CDTF">2018-12-19T02:15:00Z</dcterms:modified>
</cp:coreProperties>
</file>