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41831" w14:textId="77777777" w:rsidR="0074056C" w:rsidRDefault="00B23905" w:rsidP="00095D6D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Załącznik B.14</w:t>
      </w:r>
      <w:r w:rsidRPr="00B23905">
        <w:rPr>
          <w:sz w:val="22"/>
        </w:rPr>
        <w:t>.</w:t>
      </w:r>
    </w:p>
    <w:p w14:paraId="0060EED0" w14:textId="77777777" w:rsidR="00B23905" w:rsidRDefault="00B23905" w:rsidP="00095D6D">
      <w:pPr>
        <w:autoSpaceDE w:val="0"/>
        <w:autoSpaceDN w:val="0"/>
        <w:adjustRightInd w:val="0"/>
        <w:rPr>
          <w:sz w:val="22"/>
        </w:rPr>
      </w:pPr>
    </w:p>
    <w:p w14:paraId="21B66154" w14:textId="77777777" w:rsidR="00D65309" w:rsidRDefault="00D65309" w:rsidP="0074056C">
      <w:pPr>
        <w:autoSpaceDE w:val="0"/>
        <w:autoSpaceDN w:val="0"/>
        <w:adjustRightInd w:val="0"/>
        <w:spacing w:after="240"/>
        <w:rPr>
          <w:b/>
          <w:sz w:val="28"/>
          <w:szCs w:val="28"/>
        </w:rPr>
      </w:pPr>
      <w:r w:rsidRPr="00D65309">
        <w:rPr>
          <w:b/>
          <w:sz w:val="28"/>
          <w:szCs w:val="28"/>
        </w:rPr>
        <w:t>LECZENIE PRZEWLEKŁEJ BIAŁACZKI SZPIKOWEJ</w:t>
      </w:r>
      <w:r w:rsidR="00AE4466">
        <w:rPr>
          <w:b/>
          <w:sz w:val="28"/>
          <w:szCs w:val="28"/>
        </w:rPr>
        <w:t xml:space="preserve"> </w:t>
      </w:r>
      <w:r w:rsidR="00C81E9D">
        <w:rPr>
          <w:b/>
          <w:sz w:val="28"/>
          <w:szCs w:val="28"/>
        </w:rPr>
        <w:t xml:space="preserve"> </w:t>
      </w:r>
      <w:r w:rsidR="00C81E9D" w:rsidRPr="00D20316">
        <w:rPr>
          <w:b/>
          <w:sz w:val="28"/>
          <w:szCs w:val="28"/>
        </w:rPr>
        <w:t>(</w:t>
      </w:r>
      <w:r w:rsidR="00C81E9D">
        <w:rPr>
          <w:b/>
          <w:sz w:val="28"/>
          <w:szCs w:val="28"/>
        </w:rPr>
        <w:t xml:space="preserve">ICD-10  </w:t>
      </w:r>
      <w:r w:rsidR="00C81E9D" w:rsidRPr="00D20316">
        <w:rPr>
          <w:b/>
          <w:sz w:val="28"/>
          <w:szCs w:val="28"/>
        </w:rPr>
        <w:t>C</w:t>
      </w:r>
      <w:r w:rsidR="00C81E9D">
        <w:rPr>
          <w:b/>
          <w:sz w:val="28"/>
          <w:szCs w:val="28"/>
        </w:rPr>
        <w:t xml:space="preserve"> 92.1</w:t>
      </w:r>
      <w:r w:rsidR="00C81E9D" w:rsidRPr="00D20316">
        <w:rPr>
          <w:b/>
          <w:sz w:val="28"/>
          <w:szCs w:val="28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4"/>
        <w:gridCol w:w="4350"/>
        <w:gridCol w:w="5488"/>
      </w:tblGrid>
      <w:tr w:rsidR="00204D8B" w:rsidRPr="0074056C" w14:paraId="3457982E" w14:textId="77777777" w:rsidTr="0074056C">
        <w:trPr>
          <w:trHeight w:val="19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09D18" w14:textId="77777777" w:rsidR="00204D8B" w:rsidRPr="0074056C" w:rsidRDefault="00204D8B" w:rsidP="007405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4056C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204D8B" w:rsidRPr="0074056C" w14:paraId="1724669B" w14:textId="77777777" w:rsidTr="0074056C"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5FD4C" w14:textId="77777777" w:rsidR="00204D8B" w:rsidRPr="0074056C" w:rsidRDefault="00204D8B" w:rsidP="007405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4056C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0542" w14:textId="77777777" w:rsidR="00204D8B" w:rsidRPr="0074056C" w:rsidRDefault="00204D8B" w:rsidP="007405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4056C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D74BE" w14:textId="77777777" w:rsidR="00204D8B" w:rsidRPr="0074056C" w:rsidRDefault="00204D8B" w:rsidP="007405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4056C">
              <w:rPr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204D8B" w:rsidRPr="00D35C9E" w14:paraId="15229C31" w14:textId="77777777" w:rsidTr="0074056C"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0A05" w14:textId="77777777" w:rsidR="00204D8B" w:rsidRPr="00D35C9E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0F2738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Leczenie przewlekłej białaczki szpikowej dazatynibem</w:t>
            </w:r>
          </w:p>
          <w:p w14:paraId="736A471E" w14:textId="77777777" w:rsidR="00204D8B" w:rsidRPr="00D35C9E" w:rsidRDefault="00120102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.1. </w:t>
            </w:r>
            <w:r w:rsidR="000F2738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Kryteria kwalifikacji</w:t>
            </w:r>
          </w:p>
          <w:p w14:paraId="4F3739EA" w14:textId="77777777" w:rsidR="00204D8B" w:rsidRPr="00D35C9E" w:rsidRDefault="00204D8B" w:rsidP="007405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przewlekła białaczka szpikowa z udokumentowaną obecnością genu BCR-ABL lub chromosomu Filadelfia (Ph+);</w:t>
            </w:r>
          </w:p>
          <w:p w14:paraId="14B5B521" w14:textId="77777777" w:rsidR="00204D8B" w:rsidRPr="00D35C9E" w:rsidRDefault="00E97AA6" w:rsidP="007405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wiek</w:t>
            </w:r>
            <w:r w:rsidR="00204D8B" w:rsidRPr="00D35C9E">
              <w:rPr>
                <w:color w:val="000000" w:themeColor="text1"/>
                <w:sz w:val="20"/>
                <w:szCs w:val="20"/>
              </w:rPr>
              <w:t xml:space="preserve"> powyżej 18 roku życia;</w:t>
            </w:r>
          </w:p>
          <w:p w14:paraId="19F274C7" w14:textId="77777777" w:rsidR="00204D8B" w:rsidRPr="00D35C9E" w:rsidRDefault="00204D8B" w:rsidP="007405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stan ogólny </w:t>
            </w:r>
            <w:r w:rsidR="005B20B9" w:rsidRPr="00D35C9E">
              <w:rPr>
                <w:color w:val="000000" w:themeColor="text1"/>
                <w:sz w:val="20"/>
                <w:szCs w:val="20"/>
              </w:rPr>
              <w:t xml:space="preserve">0-2 </w:t>
            </w:r>
            <w:r w:rsidRPr="00D35C9E">
              <w:rPr>
                <w:color w:val="000000" w:themeColor="text1"/>
                <w:sz w:val="20"/>
                <w:szCs w:val="20"/>
              </w:rPr>
              <w:t>według WHO;</w:t>
            </w:r>
          </w:p>
          <w:p w14:paraId="0576BC34" w14:textId="77777777" w:rsidR="00204D8B" w:rsidRPr="00D35C9E" w:rsidRDefault="00204D8B" w:rsidP="007405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świadczeniobiorcy w fazie przewlekłej i akceleracji, dotychczas leczeni </w:t>
            </w:r>
            <w:r w:rsidR="002148D9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35C9E">
              <w:rPr>
                <w:color w:val="000000" w:themeColor="text1"/>
                <w:sz w:val="20"/>
                <w:szCs w:val="20"/>
              </w:rPr>
              <w:t>imatinibem:</w:t>
            </w:r>
          </w:p>
          <w:p w14:paraId="371EDC6D" w14:textId="77777777" w:rsidR="00204D8B" w:rsidRPr="00D35C9E" w:rsidRDefault="00204D8B" w:rsidP="007405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u których występuje oporność na imatinib z obecnością mutacji </w:t>
            </w:r>
            <w:r w:rsidR="002148D9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35C9E">
              <w:rPr>
                <w:color w:val="000000" w:themeColor="text1"/>
                <w:sz w:val="20"/>
                <w:szCs w:val="20"/>
              </w:rPr>
              <w:t>innej niż T315l,</w:t>
            </w:r>
          </w:p>
          <w:p w14:paraId="35FB0AA7" w14:textId="77777777" w:rsidR="00204D8B" w:rsidRPr="00D35C9E" w:rsidRDefault="00204D8B" w:rsidP="007405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którzy nie osiągnęli remisji hematologicznej po co </w:t>
            </w:r>
            <w:r w:rsidR="00F5531B" w:rsidRPr="00D35C9E">
              <w:rPr>
                <w:color w:val="000000" w:themeColor="text1"/>
                <w:sz w:val="20"/>
                <w:szCs w:val="20"/>
              </w:rPr>
              <w:t>najmniej 3 </w:t>
            </w:r>
            <w:r w:rsidRPr="00D35C9E">
              <w:rPr>
                <w:color w:val="000000" w:themeColor="text1"/>
                <w:sz w:val="20"/>
                <w:szCs w:val="20"/>
              </w:rPr>
              <w:t>miesiącach leczenia imatynibem,</w:t>
            </w:r>
          </w:p>
          <w:p w14:paraId="7AD48653" w14:textId="77777777" w:rsidR="00204D8B" w:rsidRPr="00D35C9E" w:rsidRDefault="00204D8B" w:rsidP="00A16E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u których brak jest częściow</w:t>
            </w:r>
            <w:r w:rsidR="00F5531B" w:rsidRPr="00D35C9E">
              <w:rPr>
                <w:color w:val="000000" w:themeColor="text1"/>
                <w:sz w:val="20"/>
                <w:szCs w:val="20"/>
              </w:rPr>
              <w:t xml:space="preserve">ej odpowiedzi cytogenetycznej </w:t>
            </w:r>
            <w:r w:rsidR="00A16E9D" w:rsidRPr="00D35C9E">
              <w:rPr>
                <w:color w:val="000000" w:themeColor="text1"/>
                <w:sz w:val="20"/>
                <w:szCs w:val="20"/>
              </w:rPr>
              <w:t xml:space="preserve">lub BCR-ABL &gt;10% IS </w:t>
            </w:r>
            <w:r w:rsidR="00F5531B" w:rsidRPr="00D35C9E">
              <w:rPr>
                <w:color w:val="000000" w:themeColor="text1"/>
                <w:sz w:val="20"/>
                <w:szCs w:val="20"/>
              </w:rPr>
              <w:t>w </w:t>
            </w:r>
            <w:r w:rsidRPr="00D35C9E">
              <w:rPr>
                <w:color w:val="000000" w:themeColor="text1"/>
                <w:sz w:val="20"/>
                <w:szCs w:val="20"/>
              </w:rPr>
              <w:t>6 miesiącu leczenia imatynibem</w:t>
            </w:r>
          </w:p>
          <w:p w14:paraId="4632204E" w14:textId="77777777" w:rsidR="00204D8B" w:rsidRPr="00D35C9E" w:rsidRDefault="00204D8B" w:rsidP="00A16E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u których brak jest </w:t>
            </w:r>
            <w:r w:rsidR="002E65F1" w:rsidRPr="00D35C9E">
              <w:rPr>
                <w:color w:val="000000" w:themeColor="text1"/>
                <w:sz w:val="20"/>
                <w:szCs w:val="20"/>
              </w:rPr>
              <w:t xml:space="preserve">całkowitej 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odpowiedzi cytogenetycznej </w:t>
            </w:r>
            <w:r w:rsidR="00A16E9D" w:rsidRPr="00D35C9E">
              <w:rPr>
                <w:color w:val="000000" w:themeColor="text1"/>
                <w:sz w:val="20"/>
                <w:szCs w:val="20"/>
              </w:rPr>
              <w:t xml:space="preserve">lub BCR - ABL &gt; 1% IS  </w:t>
            </w:r>
            <w:r w:rsidRPr="00D35C9E">
              <w:rPr>
                <w:color w:val="000000" w:themeColor="text1"/>
                <w:sz w:val="20"/>
                <w:szCs w:val="20"/>
              </w:rPr>
              <w:t>po 12 miesiącach leczenia imatynibem,</w:t>
            </w:r>
          </w:p>
          <w:p w14:paraId="0C0E1772" w14:textId="77777777" w:rsidR="00AA32EB" w:rsidRPr="00D35C9E" w:rsidRDefault="00204D8B" w:rsidP="00922443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którzy utracili osiągniętą wcześniej odpowiedź hematologiczną</w:t>
            </w:r>
            <w:r w:rsidR="002E65F1" w:rsidRPr="00D35C9E">
              <w:rPr>
                <w:color w:val="000000" w:themeColor="text1"/>
                <w:sz w:val="20"/>
                <w:szCs w:val="20"/>
              </w:rPr>
              <w:t xml:space="preserve"> lub</w:t>
            </w:r>
            <w:r w:rsidR="00E97AA6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cytogenetyczną</w:t>
            </w:r>
            <w:r w:rsidR="00A16E9D" w:rsidRPr="00D35C9E">
              <w:rPr>
                <w:color w:val="000000" w:themeColor="text1"/>
                <w:sz w:val="20"/>
                <w:szCs w:val="20"/>
              </w:rPr>
              <w:t xml:space="preserve"> lub większą molekularną – BCR-ABL&gt;0,1% IS,</w:t>
            </w:r>
          </w:p>
          <w:p w14:paraId="13A6325B" w14:textId="77777777" w:rsidR="00204D8B" w:rsidRPr="00D35C9E" w:rsidRDefault="00204D8B" w:rsidP="007405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ze stwierdzoną progresją choroby,</w:t>
            </w:r>
          </w:p>
          <w:p w14:paraId="69E67A8A" w14:textId="77777777" w:rsidR="00204D8B" w:rsidRPr="00D35C9E" w:rsidRDefault="00434760" w:rsidP="007405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nietolerujący </w:t>
            </w:r>
            <w:r w:rsidR="00204D8B" w:rsidRPr="00D35C9E">
              <w:rPr>
                <w:color w:val="000000" w:themeColor="text1"/>
                <w:sz w:val="20"/>
                <w:szCs w:val="20"/>
              </w:rPr>
              <w:t>imatinibu</w:t>
            </w:r>
            <w:r w:rsidR="00AA32EB" w:rsidRPr="00D35C9E">
              <w:rPr>
                <w:color w:val="000000" w:themeColor="text1"/>
                <w:sz w:val="20"/>
                <w:szCs w:val="20"/>
              </w:rPr>
              <w:t>;</w:t>
            </w:r>
          </w:p>
          <w:p w14:paraId="49F7E3CA" w14:textId="77777777" w:rsidR="00204D8B" w:rsidRPr="00D35C9E" w:rsidRDefault="00204D8B" w:rsidP="007405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lastRenderedPageBreak/>
              <w:t>świadczeniobiorcy w fazie przewlekłej i akceleracji dotychczas leczeni nilotynibem nietolerujący nilotynibu lub z niepowodzeniem leczenia nilotynibem</w:t>
            </w:r>
          </w:p>
          <w:p w14:paraId="45EA8630" w14:textId="77777777" w:rsidR="00204D8B" w:rsidRPr="00D35C9E" w:rsidRDefault="00204D8B" w:rsidP="007405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świadczeniobiorcy w fazie kryzy blastycznej, którzy wcześniej nie otrzymywali dazatynibu, nietol</w:t>
            </w:r>
            <w:r w:rsidR="00D60E48" w:rsidRPr="00D35C9E">
              <w:rPr>
                <w:color w:val="000000" w:themeColor="text1"/>
                <w:sz w:val="20"/>
                <w:szCs w:val="20"/>
              </w:rPr>
              <w:t>erujący lub nieodpowiadający na </w:t>
            </w:r>
            <w:r w:rsidRPr="00D35C9E">
              <w:rPr>
                <w:color w:val="000000" w:themeColor="text1"/>
                <w:sz w:val="20"/>
                <w:szCs w:val="20"/>
              </w:rPr>
              <w:t>imatynib.</w:t>
            </w:r>
          </w:p>
          <w:p w14:paraId="512AB60E" w14:textId="77777777" w:rsidR="0074056C" w:rsidRPr="00D35C9E" w:rsidRDefault="0074056C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14"/>
                <w:szCs w:val="20"/>
              </w:rPr>
            </w:pPr>
          </w:p>
          <w:p w14:paraId="6E971006" w14:textId="039EB979" w:rsidR="00120102" w:rsidRPr="00D35C9E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W razie rozpoznania oporności lub nietolerancji imatynibu, do lekarza prowadzącego należy wybór leku drugiego rzutu (dazatynib nilotynib</w:t>
            </w:r>
            <w:r w:rsidR="008D5F7F">
              <w:rPr>
                <w:color w:val="000000" w:themeColor="text1"/>
                <w:sz w:val="20"/>
                <w:szCs w:val="20"/>
              </w:rPr>
              <w:t xml:space="preserve"> </w:t>
            </w:r>
            <w:r w:rsidR="008D5F7F" w:rsidRPr="00D35C9E">
              <w:rPr>
                <w:color w:val="000000" w:themeColor="text1"/>
                <w:sz w:val="20"/>
                <w:szCs w:val="20"/>
              </w:rPr>
              <w:t>albo</w:t>
            </w:r>
            <w:r w:rsidR="008D5F7F">
              <w:rPr>
                <w:color w:val="000000" w:themeColor="text1"/>
                <w:sz w:val="20"/>
                <w:szCs w:val="20"/>
              </w:rPr>
              <w:t xml:space="preserve"> bosutynib</w:t>
            </w:r>
            <w:r w:rsidRPr="00D35C9E">
              <w:rPr>
                <w:color w:val="000000" w:themeColor="text1"/>
                <w:sz w:val="20"/>
                <w:szCs w:val="20"/>
              </w:rPr>
              <w:t>) w oparciu o wskazania medyczne.</w:t>
            </w:r>
          </w:p>
          <w:p w14:paraId="344EA753" w14:textId="77777777" w:rsidR="00204D8B" w:rsidRPr="00D35C9E" w:rsidRDefault="00120102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D35C9E">
              <w:rPr>
                <w:color w:val="000000" w:themeColor="text1"/>
                <w:sz w:val="20"/>
                <w:szCs w:val="20"/>
              </w:rPr>
              <w:t>.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0F2738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Kryteria wyłączenia</w:t>
            </w:r>
          </w:p>
          <w:p w14:paraId="4875D96B" w14:textId="77777777" w:rsidR="00204D8B" w:rsidRPr="00D35C9E" w:rsidRDefault="00204D8B" w:rsidP="007405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pojawienie się objawów nadwrażliwości na dazatynib;</w:t>
            </w:r>
          </w:p>
          <w:p w14:paraId="6C22B589" w14:textId="77777777" w:rsidR="00204D8B" w:rsidRPr="00D35C9E" w:rsidRDefault="00204D8B" w:rsidP="007405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toksyczność </w:t>
            </w:r>
            <w:r w:rsidR="000D6F46" w:rsidRPr="00D35C9E">
              <w:rPr>
                <w:color w:val="000000" w:themeColor="text1"/>
                <w:sz w:val="20"/>
                <w:szCs w:val="20"/>
              </w:rPr>
              <w:t xml:space="preserve">powyżej 2 </w:t>
            </w:r>
            <w:r w:rsidRPr="00D35C9E">
              <w:rPr>
                <w:color w:val="000000" w:themeColor="text1"/>
                <w:sz w:val="20"/>
                <w:szCs w:val="20"/>
              </w:rPr>
              <w:t>według WHO, zwłaszcza wystąpienie poważnych pozahematologicznych działań niepożądanych (3-krotny wzrost stężenia bilirubiny, 5-krotny wzrost aktywności aminotransferaz wątrobowych) lub</w:t>
            </w:r>
            <w:r w:rsidR="00187119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hematologicznych działań niepożądanych (ciężka neutropenia lub</w:t>
            </w:r>
            <w:r w:rsidR="00187119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małopłytkowość);</w:t>
            </w:r>
          </w:p>
          <w:p w14:paraId="0A9B368B" w14:textId="77777777" w:rsidR="00204D8B" w:rsidRPr="00D35C9E" w:rsidRDefault="00204D8B" w:rsidP="007405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stan sprawności </w:t>
            </w:r>
            <w:r w:rsidR="000D6F46" w:rsidRPr="00D35C9E">
              <w:rPr>
                <w:color w:val="000000" w:themeColor="text1"/>
                <w:sz w:val="20"/>
                <w:szCs w:val="20"/>
              </w:rPr>
              <w:t xml:space="preserve">3-4 </w:t>
            </w:r>
            <w:r w:rsidRPr="00D35C9E">
              <w:rPr>
                <w:color w:val="000000" w:themeColor="text1"/>
                <w:sz w:val="20"/>
                <w:szCs w:val="20"/>
              </w:rPr>
              <w:t>według WHO;</w:t>
            </w:r>
          </w:p>
          <w:p w14:paraId="7F882A04" w14:textId="77777777" w:rsidR="00905EC7" w:rsidRPr="00D35C9E" w:rsidRDefault="00204D8B" w:rsidP="007405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brak skuteczności leku po 3 miesiącach stosowania leku</w:t>
            </w:r>
            <w:r w:rsidR="001F0FEB" w:rsidRPr="00D35C9E">
              <w:rPr>
                <w:color w:val="000000" w:themeColor="text1"/>
                <w:sz w:val="20"/>
                <w:szCs w:val="20"/>
              </w:rPr>
              <w:t>:</w:t>
            </w:r>
          </w:p>
          <w:p w14:paraId="25C0CC26" w14:textId="77777777" w:rsidR="00905EC7" w:rsidRPr="00D35C9E" w:rsidRDefault="001F0FEB" w:rsidP="00905EC7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 -</w:t>
            </w:r>
            <w:r w:rsidR="000D6F46" w:rsidRPr="00D35C9E">
              <w:rPr>
                <w:color w:val="000000" w:themeColor="text1"/>
                <w:sz w:val="20"/>
                <w:szCs w:val="20"/>
              </w:rPr>
              <w:t xml:space="preserve"> brak remisji hematologicznej</w:t>
            </w:r>
            <w:r w:rsidRPr="00D35C9E">
              <w:rPr>
                <w:color w:val="000000" w:themeColor="text1"/>
                <w:sz w:val="20"/>
                <w:szCs w:val="20"/>
              </w:rPr>
              <w:t>,</w:t>
            </w:r>
          </w:p>
          <w:p w14:paraId="70648879" w14:textId="77777777" w:rsidR="00204D8B" w:rsidRPr="00D35C9E" w:rsidRDefault="001F0FEB" w:rsidP="00905EC7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 - </w:t>
            </w:r>
            <w:r w:rsidR="00204D8B" w:rsidRPr="00D35C9E">
              <w:rPr>
                <w:color w:val="000000" w:themeColor="text1"/>
                <w:sz w:val="20"/>
                <w:szCs w:val="20"/>
              </w:rPr>
              <w:t>brak remisji cytogenetycznej mniejszej (definiowanej jako sytuacja, w której w szpiku są komórki Ph-, ale jest ich mniej niż 35 %);</w:t>
            </w:r>
          </w:p>
          <w:p w14:paraId="5BD46C69" w14:textId="77777777" w:rsidR="00204D8B" w:rsidRPr="00D35C9E" w:rsidRDefault="00204D8B" w:rsidP="007405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brak </w:t>
            </w:r>
            <w:r w:rsidR="00A16E9D" w:rsidRPr="00D35C9E">
              <w:rPr>
                <w:color w:val="000000" w:themeColor="text1"/>
                <w:sz w:val="20"/>
                <w:szCs w:val="20"/>
              </w:rPr>
              <w:t xml:space="preserve">całkowitej </w:t>
            </w:r>
            <w:r w:rsidRPr="00D35C9E">
              <w:rPr>
                <w:color w:val="000000" w:themeColor="text1"/>
                <w:sz w:val="20"/>
                <w:szCs w:val="20"/>
              </w:rPr>
              <w:t>odpowiedzi cytogenetycznej po 6 miesiącach</w:t>
            </w:r>
            <w:r w:rsidR="00C95315" w:rsidRPr="00D35C9E">
              <w:rPr>
                <w:color w:val="000000" w:themeColor="text1"/>
                <w:sz w:val="20"/>
                <w:szCs w:val="20"/>
              </w:rPr>
              <w:t xml:space="preserve"> - </w:t>
            </w:r>
            <w:r w:rsidR="00A16E9D" w:rsidRPr="00D35C9E">
              <w:rPr>
                <w:color w:val="000000" w:themeColor="text1"/>
                <w:sz w:val="20"/>
                <w:szCs w:val="20"/>
              </w:rPr>
              <w:t>BCR-ABL&gt;1% IS;</w:t>
            </w:r>
          </w:p>
          <w:p w14:paraId="7F4FEC0E" w14:textId="77777777" w:rsidR="00204D8B" w:rsidRPr="00D35C9E" w:rsidRDefault="00204D8B" w:rsidP="007405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znalezienie dawcy szpiku i podjęcie decyzji o wykonaniu zabiegu przeszczepienia szpiku u danego świadczeniobiorcy;</w:t>
            </w:r>
          </w:p>
          <w:p w14:paraId="381FD537" w14:textId="77777777" w:rsidR="00204D8B" w:rsidRPr="00D35C9E" w:rsidRDefault="00204D8B" w:rsidP="007405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progresja choroby w trakcie stosowania leku wyrażająca się utratą odpowiedzi hematologicznej, utratą całkowitej odpowiedzi cytogenetycznej lub zwięk</w:t>
            </w:r>
            <w:r w:rsidR="000D6F46" w:rsidRPr="00D35C9E">
              <w:rPr>
                <w:color w:val="000000" w:themeColor="text1"/>
                <w:sz w:val="20"/>
                <w:szCs w:val="20"/>
              </w:rPr>
              <w:t xml:space="preserve">szeniem o 30% </w:t>
            </w:r>
            <w:r w:rsidR="000D6F46" w:rsidRPr="00D35C9E">
              <w:rPr>
                <w:color w:val="000000" w:themeColor="text1"/>
                <w:sz w:val="20"/>
                <w:szCs w:val="20"/>
              </w:rPr>
              <w:lastRenderedPageBreak/>
              <w:t>odsetka komórek z </w:t>
            </w:r>
            <w:r w:rsidRPr="00D35C9E">
              <w:rPr>
                <w:color w:val="000000" w:themeColor="text1"/>
                <w:sz w:val="20"/>
                <w:szCs w:val="20"/>
              </w:rPr>
              <w:t>chromosomem Filadelfia u</w:t>
            </w:r>
            <w:r w:rsidR="00051C76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świadczeniobiorców z remisją cytogenetyczną mniejszą niż całkowita, pojawieniem się nowych aberracji chromosomalnych w klonie białaczkowym.</w:t>
            </w:r>
          </w:p>
          <w:p w14:paraId="384369D6" w14:textId="77777777" w:rsidR="009337EE" w:rsidRPr="00D35C9E" w:rsidRDefault="00204D8B" w:rsidP="007405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toksyczność hematologiczna lub pozahematologiczna w stopniu 3 lub 4 - która przejawia się pomimo przerw w leczeniu</w:t>
            </w:r>
            <w:r w:rsidR="001077C1" w:rsidRPr="00D35C9E">
              <w:rPr>
                <w:color w:val="000000" w:themeColor="text1"/>
                <w:sz w:val="20"/>
                <w:szCs w:val="20"/>
              </w:rPr>
              <w:t>.</w:t>
            </w:r>
          </w:p>
          <w:p w14:paraId="0D3FFBD4" w14:textId="77777777" w:rsidR="009337EE" w:rsidRPr="00D35C9E" w:rsidRDefault="009337EE" w:rsidP="0074056C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color w:val="000000" w:themeColor="text1"/>
                <w:sz w:val="20"/>
                <w:szCs w:val="20"/>
              </w:rPr>
              <w:t>1.3 Określenie czasu leczenia dazatynibem w programie</w:t>
            </w:r>
          </w:p>
          <w:p w14:paraId="6AACB99F" w14:textId="77777777" w:rsidR="009337EE" w:rsidRPr="00D35C9E" w:rsidRDefault="009337EE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Leczenie należy kontynuować tak długo, jak długo przynosi ono korzyść kliniczną dla</w:t>
            </w:r>
            <w:r w:rsidR="00C95315" w:rsidRPr="00D35C9E">
              <w:rPr>
                <w:color w:val="000000" w:themeColor="text1"/>
                <w:sz w:val="20"/>
                <w:szCs w:val="20"/>
              </w:rPr>
              <w:t xml:space="preserve"> pacjenta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 z uwzględnieniem kryteriów wyłączenia z </w:t>
            </w:r>
            <w:r w:rsidR="001D5AE1" w:rsidRPr="00D35C9E">
              <w:rPr>
                <w:color w:val="000000" w:themeColor="text1"/>
                <w:sz w:val="20"/>
                <w:szCs w:val="20"/>
              </w:rPr>
              <w:t xml:space="preserve">programu. </w:t>
            </w:r>
            <w:r w:rsidRPr="00D35C9E">
              <w:rPr>
                <w:color w:val="000000" w:themeColor="text1"/>
                <w:sz w:val="20"/>
                <w:szCs w:val="20"/>
              </w:rPr>
              <w:t>Jeżeli nie zostało to wcześniej zrobione, a</w:t>
            </w:r>
            <w:r w:rsidR="00280A67" w:rsidRPr="00D35C9E">
              <w:rPr>
                <w:color w:val="000000" w:themeColor="text1"/>
                <w:sz w:val="20"/>
                <w:szCs w:val="20"/>
              </w:rPr>
              <w:t> pacjenci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 znajdują się w odpowiednim wieku należy rozpocząć poszukiwanie dawcy szpiku.</w:t>
            </w:r>
          </w:p>
          <w:p w14:paraId="7F59FF25" w14:textId="77777777" w:rsidR="009337EE" w:rsidRPr="00D35C9E" w:rsidRDefault="009337EE" w:rsidP="0074056C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16"/>
                <w:szCs w:val="20"/>
              </w:rPr>
            </w:pPr>
          </w:p>
          <w:p w14:paraId="3A9E2E58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Leczenie przewlekłej białaczki szpikowej nilotynibem</w:t>
            </w:r>
          </w:p>
          <w:p w14:paraId="6164C234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.1.</w:t>
            </w: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Kryteria kwalifikacji</w:t>
            </w:r>
          </w:p>
          <w:p w14:paraId="717B35BB" w14:textId="77777777" w:rsidR="00204D8B" w:rsidRPr="00D35C9E" w:rsidRDefault="00204D8B" w:rsidP="007405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 przewlekła białaczka szpikowa z udokumentowaną obecnością genu BCR-ABL lub chromosomu Filadelfia (Ph+);</w:t>
            </w:r>
          </w:p>
          <w:p w14:paraId="1EC935E8" w14:textId="77777777" w:rsidR="00204D8B" w:rsidRPr="00D35C9E" w:rsidRDefault="00204D8B" w:rsidP="007405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wiek powyżej 18 roku życia;</w:t>
            </w:r>
          </w:p>
          <w:p w14:paraId="2825B935" w14:textId="77777777" w:rsidR="00204D8B" w:rsidRPr="00D35C9E" w:rsidRDefault="00204D8B" w:rsidP="007405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stan ogólny </w:t>
            </w:r>
            <w:r w:rsidR="00D83AB3" w:rsidRPr="00D35C9E">
              <w:rPr>
                <w:color w:val="000000" w:themeColor="text1"/>
                <w:sz w:val="20"/>
                <w:szCs w:val="20"/>
              </w:rPr>
              <w:t xml:space="preserve">0-2 </w:t>
            </w:r>
            <w:r w:rsidRPr="00D35C9E">
              <w:rPr>
                <w:color w:val="000000" w:themeColor="text1"/>
                <w:sz w:val="20"/>
                <w:szCs w:val="20"/>
              </w:rPr>
              <w:t>według WHO;</w:t>
            </w:r>
          </w:p>
          <w:p w14:paraId="4A3EFB5F" w14:textId="77777777" w:rsidR="00204D8B" w:rsidRPr="00D35C9E" w:rsidRDefault="00204D8B" w:rsidP="007405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świadczeniobiorcy w fazie przewlekłej i akceleracji, dotychczas leczeni imatinibem:</w:t>
            </w:r>
          </w:p>
          <w:p w14:paraId="6D3E5289" w14:textId="77777777" w:rsidR="00204D8B" w:rsidRPr="00D35C9E" w:rsidRDefault="00204D8B" w:rsidP="0074056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993" w:hanging="284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u których występuje op</w:t>
            </w:r>
            <w:r w:rsidR="00D83AB3" w:rsidRPr="00D35C9E">
              <w:rPr>
                <w:color w:val="000000" w:themeColor="text1"/>
                <w:sz w:val="20"/>
                <w:szCs w:val="20"/>
              </w:rPr>
              <w:t xml:space="preserve">orność na imatinib z obecnością </w:t>
            </w:r>
            <w:r w:rsidRPr="00D35C9E">
              <w:rPr>
                <w:color w:val="000000" w:themeColor="text1"/>
                <w:sz w:val="20"/>
                <w:szCs w:val="20"/>
              </w:rPr>
              <w:t>mutacji innej niż T315l,</w:t>
            </w:r>
          </w:p>
          <w:p w14:paraId="0AF1489C" w14:textId="77777777" w:rsidR="00204D8B" w:rsidRPr="00D35C9E" w:rsidRDefault="00204D8B" w:rsidP="0074056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993" w:hanging="284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którzy nie osiągnęli remisji h</w:t>
            </w:r>
            <w:r w:rsidR="0084138F" w:rsidRPr="00D35C9E">
              <w:rPr>
                <w:color w:val="000000" w:themeColor="text1"/>
                <w:sz w:val="20"/>
                <w:szCs w:val="20"/>
              </w:rPr>
              <w:t>ematologicznej po co najmniej 3 </w:t>
            </w:r>
            <w:r w:rsidRPr="00D35C9E">
              <w:rPr>
                <w:color w:val="000000" w:themeColor="text1"/>
                <w:sz w:val="20"/>
                <w:szCs w:val="20"/>
              </w:rPr>
              <w:t>miesiącach leczenia imatynibem,</w:t>
            </w:r>
          </w:p>
          <w:p w14:paraId="657B3F71" w14:textId="77777777" w:rsidR="00204D8B" w:rsidRPr="00D35C9E" w:rsidRDefault="00204D8B" w:rsidP="006A373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993" w:hanging="284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u których brak jest częściowej</w:t>
            </w:r>
            <w:r w:rsidR="0084138F" w:rsidRPr="00D35C9E">
              <w:rPr>
                <w:color w:val="000000" w:themeColor="text1"/>
                <w:sz w:val="20"/>
                <w:szCs w:val="20"/>
              </w:rPr>
              <w:t xml:space="preserve"> odpowiedzi cytogenetycznej </w:t>
            </w:r>
            <w:r w:rsidR="007045E2" w:rsidRPr="00D35C9E">
              <w:rPr>
                <w:color w:val="000000" w:themeColor="text1"/>
                <w:sz w:val="20"/>
                <w:szCs w:val="20"/>
              </w:rPr>
              <w:t xml:space="preserve">lub BCR-ABL &gt;10% IS </w:t>
            </w:r>
            <w:r w:rsidR="0084138F" w:rsidRPr="00D35C9E">
              <w:rPr>
                <w:color w:val="000000" w:themeColor="text1"/>
                <w:sz w:val="20"/>
                <w:szCs w:val="20"/>
              </w:rPr>
              <w:t>w 6 </w:t>
            </w:r>
            <w:r w:rsidRPr="00D35C9E">
              <w:rPr>
                <w:color w:val="000000" w:themeColor="text1"/>
                <w:sz w:val="20"/>
                <w:szCs w:val="20"/>
              </w:rPr>
              <w:t>miesiącu leczenia imatynibem</w:t>
            </w:r>
          </w:p>
          <w:p w14:paraId="443DC9C9" w14:textId="77777777" w:rsidR="00204D8B" w:rsidRPr="00D35C9E" w:rsidRDefault="00204D8B" w:rsidP="006A373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993" w:hanging="284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u których brak jest </w:t>
            </w:r>
            <w:r w:rsidR="002E65F1" w:rsidRPr="00D35C9E">
              <w:rPr>
                <w:color w:val="000000" w:themeColor="text1"/>
                <w:sz w:val="20"/>
                <w:szCs w:val="20"/>
              </w:rPr>
              <w:t xml:space="preserve">całkowitej </w:t>
            </w:r>
            <w:r w:rsidRPr="00D35C9E">
              <w:rPr>
                <w:color w:val="000000" w:themeColor="text1"/>
                <w:sz w:val="20"/>
                <w:szCs w:val="20"/>
              </w:rPr>
              <w:t>o</w:t>
            </w:r>
            <w:r w:rsidR="0084138F" w:rsidRPr="00D35C9E">
              <w:rPr>
                <w:color w:val="000000" w:themeColor="text1"/>
                <w:sz w:val="20"/>
                <w:szCs w:val="20"/>
              </w:rPr>
              <w:t xml:space="preserve">dpowiedzi cytogenetycznej </w:t>
            </w:r>
            <w:r w:rsidR="007045E2" w:rsidRPr="00D35C9E">
              <w:rPr>
                <w:color w:val="000000" w:themeColor="text1"/>
                <w:sz w:val="20"/>
                <w:shd w:val="clear" w:color="auto" w:fill="FFFFFF"/>
              </w:rPr>
              <w:t xml:space="preserve">lub BCR - ABL &gt; 1% IS  </w:t>
            </w:r>
            <w:r w:rsidR="0084138F" w:rsidRPr="00D35C9E">
              <w:rPr>
                <w:color w:val="000000" w:themeColor="text1"/>
                <w:sz w:val="20"/>
                <w:szCs w:val="20"/>
              </w:rPr>
              <w:t xml:space="preserve">po 12 </w:t>
            </w:r>
            <w:r w:rsidRPr="00D35C9E">
              <w:rPr>
                <w:color w:val="000000" w:themeColor="text1"/>
                <w:sz w:val="20"/>
                <w:szCs w:val="20"/>
              </w:rPr>
              <w:t>miesiącach leczenia imatynibem,</w:t>
            </w:r>
          </w:p>
          <w:p w14:paraId="117307E7" w14:textId="77777777" w:rsidR="00C95315" w:rsidRPr="00D35C9E" w:rsidRDefault="00204D8B" w:rsidP="006A3735">
            <w:pPr>
              <w:pStyle w:val="Akapitzlist"/>
              <w:numPr>
                <w:ilvl w:val="0"/>
                <w:numId w:val="5"/>
              </w:numPr>
              <w:ind w:left="993" w:hanging="284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lastRenderedPageBreak/>
              <w:t>którzy utracili osiągniętą wcześniej odpowiedź hematologiczną lub</w:t>
            </w:r>
            <w:r w:rsidR="001077C1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cytogenetyczną</w:t>
            </w:r>
            <w:r w:rsidR="0079202F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95315" w:rsidRPr="00D35C9E">
              <w:rPr>
                <w:color w:val="000000" w:themeColor="text1"/>
                <w:sz w:val="20"/>
                <w:szCs w:val="20"/>
              </w:rPr>
              <w:t>lub większą molekularną – BCR-ABL&gt;0,1% IS,</w:t>
            </w:r>
          </w:p>
          <w:p w14:paraId="0502E145" w14:textId="77777777" w:rsidR="00204D8B" w:rsidRPr="00D35C9E" w:rsidRDefault="00204D8B" w:rsidP="0074056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993" w:hanging="284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ze stwierdzoną progresją choroby,</w:t>
            </w:r>
          </w:p>
          <w:p w14:paraId="5A88B7F5" w14:textId="77777777" w:rsidR="00204D8B" w:rsidRPr="00D35C9E" w:rsidRDefault="00204D8B" w:rsidP="0074056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993" w:hanging="284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nietolerujący imatinibu,</w:t>
            </w:r>
          </w:p>
          <w:p w14:paraId="4A060C11" w14:textId="77777777" w:rsidR="00204D8B" w:rsidRPr="00D35C9E" w:rsidRDefault="00204D8B" w:rsidP="007405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świadczeniobiorcy w fazie przewlekłej i akceleracji dotychczas leczeni dazatynibem</w:t>
            </w:r>
            <w:r w:rsidR="0084138F" w:rsidRPr="00D35C9E">
              <w:rPr>
                <w:color w:val="000000" w:themeColor="text1"/>
                <w:sz w:val="20"/>
                <w:szCs w:val="20"/>
              </w:rPr>
              <w:t xml:space="preserve"> nietolerujący dazatynibu l</w:t>
            </w:r>
            <w:r w:rsidR="004572FB" w:rsidRPr="00D35C9E">
              <w:rPr>
                <w:color w:val="000000" w:themeColor="text1"/>
                <w:sz w:val="20"/>
                <w:szCs w:val="20"/>
              </w:rPr>
              <w:t>ub</w:t>
            </w:r>
            <w:r w:rsidR="0084138F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4572FB" w:rsidRPr="00D35C9E">
              <w:rPr>
                <w:color w:val="000000" w:themeColor="text1"/>
                <w:sz w:val="20"/>
                <w:szCs w:val="20"/>
              </w:rPr>
              <w:t>z </w:t>
            </w:r>
            <w:r w:rsidRPr="00D35C9E">
              <w:rPr>
                <w:color w:val="000000" w:themeColor="text1"/>
                <w:sz w:val="20"/>
                <w:szCs w:val="20"/>
              </w:rPr>
              <w:t>niep</w:t>
            </w:r>
            <w:r w:rsidR="0084138F" w:rsidRPr="00D35C9E">
              <w:rPr>
                <w:color w:val="000000" w:themeColor="text1"/>
                <w:sz w:val="20"/>
                <w:szCs w:val="20"/>
              </w:rPr>
              <w:t>owodzeniem leczenia dazatynibem.</w:t>
            </w:r>
          </w:p>
          <w:p w14:paraId="6509CEC0" w14:textId="7B3E05A2" w:rsidR="00204D8B" w:rsidRPr="00D35C9E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W razie rozpoznania oporności lub nietolerancji imatynibu, do lekarza prowadzącego należy wybór leku drugiego rzutu (dazatynib nilotynib</w:t>
            </w:r>
            <w:r w:rsidR="008D5F7F">
              <w:rPr>
                <w:color w:val="000000" w:themeColor="text1"/>
                <w:sz w:val="20"/>
                <w:szCs w:val="20"/>
              </w:rPr>
              <w:t xml:space="preserve"> </w:t>
            </w:r>
            <w:r w:rsidR="008D5F7F" w:rsidRPr="00D35C9E">
              <w:rPr>
                <w:color w:val="000000" w:themeColor="text1"/>
                <w:sz w:val="20"/>
                <w:szCs w:val="20"/>
              </w:rPr>
              <w:t>albo</w:t>
            </w:r>
            <w:r w:rsidR="008D5F7F">
              <w:rPr>
                <w:color w:val="000000" w:themeColor="text1"/>
                <w:sz w:val="20"/>
                <w:szCs w:val="20"/>
              </w:rPr>
              <w:t xml:space="preserve"> bosutynib</w:t>
            </w:r>
            <w:r w:rsidRPr="00D35C9E">
              <w:rPr>
                <w:color w:val="000000" w:themeColor="text1"/>
                <w:sz w:val="20"/>
                <w:szCs w:val="20"/>
              </w:rPr>
              <w:t>) w oparciu o wskazania medyczne.</w:t>
            </w:r>
          </w:p>
          <w:p w14:paraId="444D8F24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.2 </w:t>
            </w: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Kryteria wyłączenia</w:t>
            </w:r>
          </w:p>
          <w:p w14:paraId="6E79276D" w14:textId="77777777" w:rsidR="00204D8B" w:rsidRPr="00D35C9E" w:rsidRDefault="00204D8B" w:rsidP="0074056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pojawienie się objawów nadwrażliwości na nilotynib;</w:t>
            </w:r>
          </w:p>
          <w:p w14:paraId="38EA6826" w14:textId="77777777" w:rsidR="00204D8B" w:rsidRPr="00D35C9E" w:rsidRDefault="00204D8B" w:rsidP="0074056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toksyczność </w:t>
            </w:r>
            <w:r w:rsidR="00C448D0" w:rsidRPr="00D35C9E">
              <w:rPr>
                <w:color w:val="000000" w:themeColor="text1"/>
                <w:sz w:val="20"/>
                <w:szCs w:val="20"/>
              </w:rPr>
              <w:t xml:space="preserve">powyżej 2 </w:t>
            </w:r>
            <w:r w:rsidRPr="00D35C9E">
              <w:rPr>
                <w:color w:val="000000" w:themeColor="text1"/>
                <w:sz w:val="20"/>
                <w:szCs w:val="20"/>
              </w:rPr>
              <w:t>według WHO, zwłaszcza wystąpienie poważnych pozahematologicznych działań niepożądanych (3-krotny wzrost stężenia bilirubiny, 5-krotny wzrost aktywności aminotransferaz wątrobowych) lub</w:t>
            </w:r>
            <w:r w:rsidR="001077C1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hematologicznych działań niepożądanych (ciężka neutropenia lub</w:t>
            </w:r>
            <w:r w:rsidR="001077C1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małopłytkowość);</w:t>
            </w:r>
          </w:p>
          <w:p w14:paraId="13AA54D8" w14:textId="77777777" w:rsidR="00204D8B" w:rsidRPr="00D35C9E" w:rsidRDefault="00204D8B" w:rsidP="0074056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stan sprawności </w:t>
            </w:r>
            <w:r w:rsidR="00C448D0" w:rsidRPr="00D35C9E">
              <w:rPr>
                <w:color w:val="000000" w:themeColor="text1"/>
                <w:sz w:val="20"/>
                <w:szCs w:val="20"/>
              </w:rPr>
              <w:t xml:space="preserve">3-4 </w:t>
            </w:r>
            <w:r w:rsidRPr="00D35C9E">
              <w:rPr>
                <w:color w:val="000000" w:themeColor="text1"/>
                <w:sz w:val="20"/>
                <w:szCs w:val="20"/>
              </w:rPr>
              <w:t>według WHO;</w:t>
            </w:r>
          </w:p>
          <w:p w14:paraId="0885B08C" w14:textId="77777777" w:rsidR="00905EC7" w:rsidRPr="00D35C9E" w:rsidRDefault="00204D8B" w:rsidP="0074056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brak skuteczności leku </w:t>
            </w:r>
            <w:r w:rsidR="00C448D0" w:rsidRPr="00D35C9E">
              <w:rPr>
                <w:color w:val="000000" w:themeColor="text1"/>
                <w:sz w:val="20"/>
                <w:szCs w:val="20"/>
              </w:rPr>
              <w:t>po 3 miesiącach stosowania leku</w:t>
            </w:r>
            <w:r w:rsidR="00E8064E" w:rsidRPr="00D35C9E"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14:paraId="0BD2A8AE" w14:textId="77777777" w:rsidR="00905EC7" w:rsidRPr="00D35C9E" w:rsidRDefault="00E8064E" w:rsidP="00905EC7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- brak remisji hematologicznej,</w:t>
            </w:r>
          </w:p>
          <w:p w14:paraId="2B9DC912" w14:textId="77777777" w:rsidR="00204D8B" w:rsidRPr="00D35C9E" w:rsidRDefault="00E8064E" w:rsidP="00905EC7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-</w:t>
            </w:r>
            <w:r w:rsidR="00C448D0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204D8B" w:rsidRPr="00D35C9E">
              <w:rPr>
                <w:color w:val="000000" w:themeColor="text1"/>
                <w:sz w:val="20"/>
                <w:szCs w:val="20"/>
              </w:rPr>
              <w:t>brak remisji cytogenetycznej mniejszej (definiowanej jako sytuacja, w</w:t>
            </w:r>
            <w:r w:rsidR="001077C1" w:rsidRPr="00D35C9E">
              <w:rPr>
                <w:color w:val="000000" w:themeColor="text1"/>
                <w:sz w:val="20"/>
                <w:szCs w:val="20"/>
              </w:rPr>
              <w:t> </w:t>
            </w:r>
            <w:r w:rsidR="00204D8B" w:rsidRPr="00D35C9E">
              <w:rPr>
                <w:color w:val="000000" w:themeColor="text1"/>
                <w:sz w:val="20"/>
                <w:szCs w:val="20"/>
              </w:rPr>
              <w:t>której w szpiku są komórki Ph-, ale jest ich mniej niż 35 %);</w:t>
            </w:r>
          </w:p>
          <w:p w14:paraId="5F37714F" w14:textId="77777777" w:rsidR="00204D8B" w:rsidRPr="00D35C9E" w:rsidRDefault="00204D8B" w:rsidP="00C9531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brak </w:t>
            </w:r>
            <w:r w:rsidR="00C95315" w:rsidRPr="00D35C9E">
              <w:rPr>
                <w:color w:val="000000" w:themeColor="text1"/>
                <w:sz w:val="20"/>
                <w:szCs w:val="20"/>
              </w:rPr>
              <w:t xml:space="preserve">całkowitej </w:t>
            </w:r>
            <w:r w:rsidRPr="00D35C9E">
              <w:rPr>
                <w:color w:val="000000" w:themeColor="text1"/>
                <w:sz w:val="20"/>
                <w:szCs w:val="20"/>
              </w:rPr>
              <w:t>odpowiedzi cytogenetycznej po 6 miesiącach</w:t>
            </w:r>
            <w:r w:rsidR="00C95315" w:rsidRPr="00D35C9E">
              <w:rPr>
                <w:color w:val="000000" w:themeColor="text1"/>
              </w:rPr>
              <w:t xml:space="preserve"> </w:t>
            </w:r>
            <w:r w:rsidR="00C95315" w:rsidRPr="00D35C9E">
              <w:rPr>
                <w:color w:val="000000" w:themeColor="text1"/>
                <w:sz w:val="20"/>
                <w:szCs w:val="20"/>
              </w:rPr>
              <w:t>- BCR-ABL&gt;1% IS;</w:t>
            </w:r>
          </w:p>
          <w:p w14:paraId="6D02BF42" w14:textId="77777777" w:rsidR="00204D8B" w:rsidRPr="00D35C9E" w:rsidRDefault="00204D8B" w:rsidP="0074056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znalezienie dawcy szpiku i podjęcie decyzji o wykonaniu zabiegu przeszczepienia szpiku u danego świadczeniobiorcy;</w:t>
            </w:r>
          </w:p>
          <w:p w14:paraId="1D7045D5" w14:textId="77777777" w:rsidR="00204D8B" w:rsidRPr="00D35C9E" w:rsidRDefault="00204D8B" w:rsidP="0074056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progresja choroby w trakcie stosowania leku wyrażająca się utratą odpowiedzi hematologicznej, utratą całkowitej </w:t>
            </w:r>
            <w:r w:rsidRPr="00D35C9E">
              <w:rPr>
                <w:color w:val="000000" w:themeColor="text1"/>
                <w:sz w:val="20"/>
                <w:szCs w:val="20"/>
              </w:rPr>
              <w:lastRenderedPageBreak/>
              <w:t>odpowiedzi cytogenetycznej lub zwięk</w:t>
            </w:r>
            <w:r w:rsidR="00C448D0" w:rsidRPr="00D35C9E">
              <w:rPr>
                <w:color w:val="000000" w:themeColor="text1"/>
                <w:sz w:val="20"/>
                <w:szCs w:val="20"/>
              </w:rPr>
              <w:t>szeniem o 30% odsetka komórek z </w:t>
            </w:r>
            <w:r w:rsidRPr="00D35C9E">
              <w:rPr>
                <w:color w:val="000000" w:themeColor="text1"/>
                <w:sz w:val="20"/>
                <w:szCs w:val="20"/>
              </w:rPr>
              <w:t>chromosomem Filadelfia u</w:t>
            </w:r>
            <w:r w:rsidR="002E06D8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świadczeniobiorców z remisją cytogenetyczną mniejszą niż całkowita, pojawieniem się nowych aberracji chromosomalnych w klonie białaczkowym.</w:t>
            </w:r>
          </w:p>
          <w:p w14:paraId="7733C3C8" w14:textId="77777777" w:rsidR="009337EE" w:rsidRPr="00D35C9E" w:rsidRDefault="009337EE" w:rsidP="0074056C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color w:val="000000" w:themeColor="text1"/>
                <w:sz w:val="20"/>
                <w:szCs w:val="20"/>
              </w:rPr>
              <w:t>2.3 Określenie czasu leczenia nilotynibem w programie</w:t>
            </w:r>
          </w:p>
          <w:p w14:paraId="17EAD3D5" w14:textId="77777777" w:rsidR="00204D8B" w:rsidRDefault="009337EE" w:rsidP="00C95315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Leczenie należy kontynuować tak długo, jak długo przynosi ono korzyść kliniczną dla pacjenta z uwzględnieniem kryteriów wyłączenia z programu.</w:t>
            </w:r>
            <w:r w:rsidR="00C95315" w:rsidRPr="00D35C9E">
              <w:rPr>
                <w:color w:val="000000" w:themeColor="text1"/>
                <w:sz w:val="20"/>
                <w:szCs w:val="20"/>
              </w:rPr>
              <w:t xml:space="preserve"> Jeżeli nie zostało to wcześniej zrobione, a pacjenci  znajdują się w odpowiednim wieku należy rozpocząć poszukiwanie dawcy szpiku.</w:t>
            </w:r>
          </w:p>
          <w:p w14:paraId="26CD55BE" w14:textId="77777777" w:rsidR="002815E6" w:rsidRDefault="002815E6" w:rsidP="002815E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</w:rPr>
            </w:pPr>
            <w:bookmarkStart w:id="0" w:name="_GoBack"/>
            <w:bookmarkEnd w:id="0"/>
          </w:p>
          <w:p w14:paraId="2E5F18D1" w14:textId="77777777" w:rsidR="002815E6" w:rsidRDefault="002815E6" w:rsidP="002815E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 Leczenie przewlekłej białaczki szpikowej bosutynibem</w:t>
            </w:r>
          </w:p>
          <w:p w14:paraId="1147C5A6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  <w:r w:rsidRPr="00811CB9">
              <w:rPr>
                <w:b/>
                <w:bCs/>
                <w:sz w:val="20"/>
              </w:rPr>
              <w:t>1. Kryteria kwalifikacji</w:t>
            </w:r>
          </w:p>
          <w:p w14:paraId="09761BDE" w14:textId="77777777" w:rsidR="002815E6" w:rsidRPr="00811CB9" w:rsidRDefault="002815E6" w:rsidP="002815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przewlekła białaczka szpikowa z udokumentowaną obecnością genu BCR-ABL lub chromosomu Filadelfia (Ph+);</w:t>
            </w:r>
          </w:p>
          <w:p w14:paraId="1317CDB9" w14:textId="77777777" w:rsidR="002815E6" w:rsidRPr="00811CB9" w:rsidRDefault="002815E6" w:rsidP="002815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wiek powyżej 18 roku życia;</w:t>
            </w:r>
          </w:p>
          <w:p w14:paraId="133BDCEB" w14:textId="77777777" w:rsidR="002815E6" w:rsidRPr="00811CB9" w:rsidRDefault="002815E6" w:rsidP="002815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stan ogólny 0-2 według WHO;</w:t>
            </w:r>
          </w:p>
          <w:p w14:paraId="7A96EB60" w14:textId="77777777" w:rsidR="002815E6" w:rsidRPr="00811CB9" w:rsidRDefault="002815E6" w:rsidP="002815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świadczeniobiorcy w fazie przewlekłej lub  akceleracji dotychczas leczeni imatinibem:</w:t>
            </w:r>
          </w:p>
          <w:p w14:paraId="0AD0B112" w14:textId="77777777" w:rsidR="002815E6" w:rsidRPr="00811CB9" w:rsidRDefault="002815E6" w:rsidP="00C07AE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1056"/>
              <w:rPr>
                <w:sz w:val="20"/>
              </w:rPr>
            </w:pPr>
            <w:r w:rsidRPr="00811CB9">
              <w:rPr>
                <w:sz w:val="20"/>
              </w:rPr>
              <w:t>u których występuje oporność na imatinib z obecnością mutacji innej niż T315</w:t>
            </w:r>
            <w:r>
              <w:rPr>
                <w:sz w:val="20"/>
              </w:rPr>
              <w:t>I</w:t>
            </w:r>
            <w:r w:rsidRPr="00811CB9">
              <w:rPr>
                <w:sz w:val="20"/>
              </w:rPr>
              <w:t>,</w:t>
            </w:r>
          </w:p>
          <w:p w14:paraId="0325C84C" w14:textId="77777777" w:rsidR="002815E6" w:rsidRPr="00811CB9" w:rsidRDefault="002815E6" w:rsidP="00C07AE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1056"/>
              <w:rPr>
                <w:sz w:val="20"/>
              </w:rPr>
            </w:pPr>
            <w:r w:rsidRPr="00811CB9">
              <w:rPr>
                <w:sz w:val="20"/>
              </w:rPr>
              <w:t>którzy nie osiągnęli remisji hematologicznej po co najmniej 3 miesiącach leczenia imatynibem,</w:t>
            </w:r>
          </w:p>
          <w:p w14:paraId="5B81CD65" w14:textId="77777777" w:rsidR="002815E6" w:rsidRPr="00811CB9" w:rsidRDefault="002815E6" w:rsidP="00C07AE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1056"/>
              <w:rPr>
                <w:sz w:val="20"/>
              </w:rPr>
            </w:pPr>
            <w:r w:rsidRPr="00811CB9">
              <w:rPr>
                <w:sz w:val="20"/>
              </w:rPr>
              <w:t>u których brak jest częściowej odpowiedzi cytogenetycznej lub BCR-ABL &gt;10% [IS]* (MR</w:t>
            </w:r>
            <w:r w:rsidRPr="008501B5">
              <w:rPr>
                <w:sz w:val="20"/>
                <w:vertAlign w:val="superscript"/>
              </w:rPr>
              <w:t>1</w:t>
            </w:r>
            <w:r w:rsidRPr="00811CB9">
              <w:rPr>
                <w:sz w:val="20"/>
              </w:rPr>
              <w:t>) w 6 miesiącu leczenia imatynibem</w:t>
            </w:r>
          </w:p>
          <w:p w14:paraId="1DB187F8" w14:textId="77777777" w:rsidR="002815E6" w:rsidRPr="00811CB9" w:rsidRDefault="002815E6" w:rsidP="00C07AE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1056"/>
              <w:rPr>
                <w:sz w:val="20"/>
              </w:rPr>
            </w:pPr>
            <w:r w:rsidRPr="00811CB9">
              <w:rPr>
                <w:sz w:val="20"/>
              </w:rPr>
              <w:t>u których brak jest całkowitej odpowiedzi cytogenetycznej lub BCR-ABL &gt;1% [IS]*(MR</w:t>
            </w:r>
            <w:r w:rsidRPr="008501B5">
              <w:rPr>
                <w:sz w:val="20"/>
                <w:vertAlign w:val="superscript"/>
              </w:rPr>
              <w:t>2</w:t>
            </w:r>
            <w:r w:rsidRPr="00811CB9">
              <w:rPr>
                <w:sz w:val="20"/>
              </w:rPr>
              <w:t>) po 12 miesiącach leczenia imatynibem,</w:t>
            </w:r>
          </w:p>
          <w:p w14:paraId="3EB9EB44" w14:textId="77777777" w:rsidR="002815E6" w:rsidRPr="00811CB9" w:rsidRDefault="002815E6" w:rsidP="00C07AE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1056"/>
              <w:rPr>
                <w:sz w:val="20"/>
              </w:rPr>
            </w:pPr>
            <w:r w:rsidRPr="00811CB9">
              <w:rPr>
                <w:sz w:val="20"/>
              </w:rPr>
              <w:t xml:space="preserve"> którzy utracili osiągniętą wcześniej odpowiedź hematologiczną, cytogenetyczną lub większą </w:t>
            </w:r>
            <w:r w:rsidRPr="00811CB9">
              <w:rPr>
                <w:sz w:val="20"/>
              </w:rPr>
              <w:lastRenderedPageBreak/>
              <w:t>odpowiedź molekularną - BCR-ABL &gt;0,1% [IS]* (MR</w:t>
            </w:r>
            <w:r w:rsidRPr="008501B5">
              <w:rPr>
                <w:sz w:val="20"/>
                <w:vertAlign w:val="superscript"/>
              </w:rPr>
              <w:t>3</w:t>
            </w:r>
            <w:r w:rsidRPr="00811CB9">
              <w:rPr>
                <w:sz w:val="20"/>
              </w:rPr>
              <w:t>)</w:t>
            </w:r>
          </w:p>
          <w:p w14:paraId="7D83760D" w14:textId="77777777" w:rsidR="002815E6" w:rsidRPr="001464E8" w:rsidRDefault="002815E6" w:rsidP="00C07AE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1056"/>
              <w:rPr>
                <w:sz w:val="20"/>
              </w:rPr>
            </w:pPr>
            <w:r w:rsidRPr="001464E8">
              <w:rPr>
                <w:sz w:val="20"/>
              </w:rPr>
              <w:t>ze stwierdzoną progresją choroby,</w:t>
            </w:r>
          </w:p>
          <w:p w14:paraId="3754D592" w14:textId="77777777" w:rsidR="002815E6" w:rsidRPr="001464E8" w:rsidRDefault="002815E6" w:rsidP="00C07AE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1056"/>
              <w:rPr>
                <w:sz w:val="20"/>
              </w:rPr>
            </w:pPr>
            <w:r w:rsidRPr="001464E8">
              <w:rPr>
                <w:sz w:val="20"/>
              </w:rPr>
              <w:t>nietolerujący imatinibu,</w:t>
            </w:r>
          </w:p>
          <w:p w14:paraId="4C921DD3" w14:textId="2868B475" w:rsidR="002815E6" w:rsidRPr="00811CB9" w:rsidRDefault="002815E6" w:rsidP="002815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świadczeniobiorcy w fazie przewlekłej, akceleracji lub kryzy blastycznej</w:t>
            </w:r>
            <w:r w:rsidR="00B96E92">
              <w:rPr>
                <w:sz w:val="20"/>
              </w:rPr>
              <w:t>, u których podczas</w:t>
            </w:r>
            <w:r w:rsidRPr="00811CB9">
              <w:rPr>
                <w:sz w:val="20"/>
              </w:rPr>
              <w:t xml:space="preserve"> leczeni</w:t>
            </w:r>
            <w:r w:rsidR="00B96E92">
              <w:rPr>
                <w:sz w:val="20"/>
              </w:rPr>
              <w:t xml:space="preserve">a nilotynibem lub dazatynibem, </w:t>
            </w:r>
            <w:r w:rsidR="008D5F7F">
              <w:rPr>
                <w:sz w:val="20"/>
              </w:rPr>
              <w:t>wystąpiła nietolerancja</w:t>
            </w:r>
            <w:r w:rsidR="00C07AEB">
              <w:rPr>
                <w:sz w:val="20"/>
              </w:rPr>
              <w:t xml:space="preserve"> </w:t>
            </w:r>
            <w:r w:rsidR="008D5F7F">
              <w:rPr>
                <w:sz w:val="20"/>
              </w:rPr>
              <w:t>na</w:t>
            </w:r>
            <w:r w:rsidRPr="00811CB9">
              <w:rPr>
                <w:sz w:val="20"/>
              </w:rPr>
              <w:t xml:space="preserve"> </w:t>
            </w:r>
            <w:r w:rsidR="008D5F7F">
              <w:rPr>
                <w:sz w:val="20"/>
              </w:rPr>
              <w:t xml:space="preserve">nilotynib lub dazatynib </w:t>
            </w:r>
            <w:r>
              <w:rPr>
                <w:sz w:val="20"/>
              </w:rPr>
              <w:t>(zgodnie z rekomendacją European Leukemia Net i Polish Acute Leukemia Group)</w:t>
            </w:r>
            <w:r w:rsidRPr="00811CB9">
              <w:rPr>
                <w:sz w:val="20"/>
              </w:rPr>
              <w:t>,</w:t>
            </w:r>
          </w:p>
          <w:p w14:paraId="38274EB1" w14:textId="4518E1F0" w:rsidR="002815E6" w:rsidRPr="007D6F88" w:rsidRDefault="002815E6" w:rsidP="007D6F8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świadczeniobiorcy w fazie kryzy blastycznej, którzy wcześniej nie otrzymywali bosutynibu, nietolerujący lub nieodpowiadający na imatynib</w:t>
            </w:r>
            <w:r>
              <w:rPr>
                <w:sz w:val="20"/>
              </w:rPr>
              <w:t xml:space="preserve"> (zgodnie z rekomendacją European Leukemia Net i Polish Acute Leukemia Group)</w:t>
            </w:r>
            <w:r w:rsidRPr="00811CB9">
              <w:rPr>
                <w:sz w:val="20"/>
              </w:rPr>
              <w:t>.</w:t>
            </w:r>
          </w:p>
          <w:p w14:paraId="5702B444" w14:textId="027DFE68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11CB9">
              <w:rPr>
                <w:sz w:val="20"/>
              </w:rPr>
              <w:t xml:space="preserve">W razie rozpoznania oporności lub nietolerancji imatynibu, do lekarza prowadzącego należy </w:t>
            </w:r>
            <w:r w:rsidRPr="008D5F7F">
              <w:rPr>
                <w:sz w:val="20"/>
              </w:rPr>
              <w:t>wybór leku drugiego rzutu (dazatynib, nilotynib albo bosutynib)</w:t>
            </w:r>
            <w:r w:rsidRPr="00811CB9">
              <w:rPr>
                <w:sz w:val="20"/>
              </w:rPr>
              <w:t xml:space="preserve"> w oparciu o wskazania medyczne.</w:t>
            </w:r>
          </w:p>
          <w:p w14:paraId="1DCA77FC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</w:p>
          <w:p w14:paraId="7B69CBDF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  <w:r w:rsidRPr="005408A4">
              <w:rPr>
                <w:b/>
                <w:bCs/>
                <w:sz w:val="20"/>
              </w:rPr>
              <w:t xml:space="preserve">2. </w:t>
            </w:r>
            <w:r w:rsidRPr="00811CB9">
              <w:rPr>
                <w:b/>
                <w:bCs/>
                <w:sz w:val="20"/>
              </w:rPr>
              <w:t xml:space="preserve"> Kryteria wyłączenia</w:t>
            </w:r>
          </w:p>
          <w:p w14:paraId="24BF153C" w14:textId="77777777" w:rsidR="002815E6" w:rsidRPr="00D76243" w:rsidRDefault="002815E6" w:rsidP="002815E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pojawienie się objawów nadwrażliwości na bosutynib;</w:t>
            </w:r>
          </w:p>
          <w:p w14:paraId="519E75F0" w14:textId="77777777" w:rsidR="002815E6" w:rsidRPr="00811CB9" w:rsidRDefault="002815E6" w:rsidP="002815E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 xml:space="preserve">utrzymywanie się działań niepożądanych powyżej 2 stopnia wg. WHO pomimo czasowej przerwy w podawaniu leku i zmniejszenia dawki – zgodnie z Charakterystyką Produktu Leczniczego  </w:t>
            </w:r>
          </w:p>
          <w:p w14:paraId="471F5B8B" w14:textId="77777777" w:rsidR="002815E6" w:rsidRPr="00811CB9" w:rsidRDefault="002815E6" w:rsidP="002815E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stan sprawności 3-4 według WHO;</w:t>
            </w:r>
          </w:p>
          <w:p w14:paraId="1907B7CB" w14:textId="77777777" w:rsidR="002815E6" w:rsidRPr="00811CB9" w:rsidRDefault="002815E6" w:rsidP="002815E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 xml:space="preserve">brak skuteczności </w:t>
            </w:r>
            <w:r>
              <w:rPr>
                <w:sz w:val="20"/>
              </w:rPr>
              <w:t xml:space="preserve">leczenia </w:t>
            </w:r>
            <w:r w:rsidRPr="00811CB9">
              <w:rPr>
                <w:sz w:val="20"/>
              </w:rPr>
              <w:t>po 3 miesiącach stosowania leku:</w:t>
            </w:r>
          </w:p>
          <w:p w14:paraId="5822A77C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sz w:val="20"/>
              </w:rPr>
            </w:pPr>
            <w:r w:rsidRPr="00811CB9">
              <w:rPr>
                <w:sz w:val="20"/>
              </w:rPr>
              <w:t>- brak remisji hematologicznej,</w:t>
            </w:r>
          </w:p>
          <w:p w14:paraId="4480177D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sz w:val="20"/>
              </w:rPr>
            </w:pPr>
            <w:r w:rsidRPr="00811CB9">
              <w:rPr>
                <w:sz w:val="20"/>
              </w:rPr>
              <w:t xml:space="preserve">- brak remisji cytogenetycznej mniejszej (definiowanej jako sytuacja, w której w szpiku są </w:t>
            </w:r>
            <w:r>
              <w:rPr>
                <w:sz w:val="20"/>
              </w:rPr>
              <w:t xml:space="preserve">obecne </w:t>
            </w:r>
            <w:r w:rsidRPr="00811CB9">
              <w:rPr>
                <w:sz w:val="20"/>
              </w:rPr>
              <w:t>komórki Ph(</w:t>
            </w:r>
            <w:r>
              <w:rPr>
                <w:sz w:val="20"/>
              </w:rPr>
              <w:t>+</w:t>
            </w:r>
            <w:r w:rsidRPr="00811CB9">
              <w:rPr>
                <w:sz w:val="20"/>
              </w:rPr>
              <w:t>), ale jest ich mniej niż 35 %);</w:t>
            </w:r>
          </w:p>
          <w:p w14:paraId="0111EF47" w14:textId="77777777" w:rsidR="002815E6" w:rsidRPr="00811CB9" w:rsidRDefault="002815E6" w:rsidP="002815E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brak całkowitej odpowiedzi cytogenetycznej po 6 miesiącach</w:t>
            </w:r>
            <w:r>
              <w:rPr>
                <w:sz w:val="20"/>
              </w:rPr>
              <w:t xml:space="preserve"> lub</w:t>
            </w:r>
            <w:r w:rsidRPr="00811CB9">
              <w:rPr>
                <w:sz w:val="20"/>
              </w:rPr>
              <w:t xml:space="preserve"> BCR-ABL &gt;1% [IS]* (MR</w:t>
            </w:r>
            <w:r w:rsidRPr="001464E8">
              <w:rPr>
                <w:sz w:val="20"/>
                <w:vertAlign w:val="superscript"/>
              </w:rPr>
              <w:t>2</w:t>
            </w:r>
            <w:r w:rsidRPr="00811CB9">
              <w:rPr>
                <w:sz w:val="20"/>
              </w:rPr>
              <w:t>)</w:t>
            </w:r>
          </w:p>
          <w:p w14:paraId="28153A9B" w14:textId="77777777" w:rsidR="002815E6" w:rsidRPr="00811CB9" w:rsidRDefault="002815E6" w:rsidP="002815E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lastRenderedPageBreak/>
              <w:t>znalezienie dawcy szpiku i podjęcie decyzji o wykonaniu zabiegu przeszczepienia szpiku u danego świadczeniobiorcy;</w:t>
            </w:r>
          </w:p>
          <w:p w14:paraId="51760E8C" w14:textId="77777777" w:rsidR="002815E6" w:rsidRPr="00811CB9" w:rsidRDefault="002815E6" w:rsidP="002815E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progresja choroby w trakcie stosowania leku wyrażająca się utratą odpowiedzi hematologicznej, utratą dotychczasowej odpowiedzi cytogenetycznej, pojawieniem się nowych aberracji chromosomalnych w klonie białaczkowym</w:t>
            </w:r>
            <w:r>
              <w:rPr>
                <w:sz w:val="20"/>
              </w:rPr>
              <w:t xml:space="preserve"> </w:t>
            </w:r>
            <w:r w:rsidRPr="00811CB9">
              <w:rPr>
                <w:sz w:val="20"/>
              </w:rPr>
              <w:t>Filadelfia (Ph+)</w:t>
            </w:r>
          </w:p>
          <w:p w14:paraId="3918E5B7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sz w:val="20"/>
              </w:rPr>
            </w:pPr>
          </w:p>
          <w:p w14:paraId="0B317F57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 w:rsidRPr="00811CB9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 w:rsidRPr="00811CB9">
              <w:rPr>
                <w:b/>
                <w:sz w:val="20"/>
              </w:rPr>
              <w:t xml:space="preserve"> Określenie czasu leczenia bosutynibem w programie</w:t>
            </w:r>
          </w:p>
          <w:p w14:paraId="04EEE8A1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11CB9">
              <w:rPr>
                <w:sz w:val="20"/>
              </w:rPr>
              <w:t>Leczenie należy kontynuować tak długo, jak długo przynosi ono korzyść kliniczną dla świadczeniobiorcy z uwzględnieniem kryteriów wyłączenia z programu. Jeżeli nie zostało to wcześniej zrobione, a świadczeniobiorcy znajdują się w odpowiednim wieku należy rozpocząć poszukiwanie dawcy szpiku.</w:t>
            </w:r>
          </w:p>
          <w:p w14:paraId="5C5F088E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sz w:val="20"/>
              </w:rPr>
            </w:pPr>
          </w:p>
          <w:p w14:paraId="44D825E6" w14:textId="77777777" w:rsidR="002815E6" w:rsidRPr="008D5F7F" w:rsidRDefault="002815E6" w:rsidP="002815E6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8D5F7F">
              <w:rPr>
                <w:bCs/>
                <w:sz w:val="20"/>
              </w:rPr>
              <w:t>Bosutynib należy stosować po rozpoznaniu oporności lub nietolerancji imatynibu w ramach drugiej i trzeciej linii leczenia.</w:t>
            </w:r>
            <w:r w:rsidRPr="008D5F7F">
              <w:rPr>
                <w:sz w:val="20"/>
              </w:rPr>
              <w:t xml:space="preserve"> </w:t>
            </w:r>
            <w:r w:rsidRPr="008D5F7F">
              <w:rPr>
                <w:bCs/>
                <w:sz w:val="20"/>
              </w:rPr>
              <w:t>W ramach programu lekowego nie jest możliwe zastosowanie więcej niż 2 inhibitorów kinazy tyrozynowej drugiej generacji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BB20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Leczenie przew</w:t>
            </w:r>
            <w:r w:rsidR="00A8675E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lekłej białaczki szpikowej </w:t>
            </w:r>
            <w:r w:rsidR="001B733F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dazatynibem</w:t>
            </w:r>
          </w:p>
          <w:p w14:paraId="3C419AE9" w14:textId="77777777" w:rsidR="001B733F" w:rsidRPr="00D35C9E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Zalec</w:t>
            </w:r>
            <w:r w:rsidR="00A8675E" w:rsidRPr="00D35C9E">
              <w:rPr>
                <w:color w:val="000000" w:themeColor="text1"/>
                <w:sz w:val="20"/>
                <w:szCs w:val="20"/>
              </w:rPr>
              <w:t xml:space="preserve">ana dawka początkowa </w:t>
            </w:r>
            <w:r w:rsidR="007045E2" w:rsidRPr="00D35C9E">
              <w:rPr>
                <w:color w:val="000000" w:themeColor="text1"/>
                <w:sz w:val="20"/>
                <w:szCs w:val="20"/>
              </w:rPr>
              <w:t xml:space="preserve">dazatynibu  </w:t>
            </w:r>
            <w:r w:rsidR="001B733F" w:rsidRPr="00D35C9E">
              <w:rPr>
                <w:color w:val="000000" w:themeColor="text1"/>
                <w:sz w:val="20"/>
                <w:szCs w:val="20"/>
              </w:rPr>
              <w:t>w p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rzewlekłej </w:t>
            </w:r>
            <w:r w:rsidR="00A8675E" w:rsidRPr="00D35C9E">
              <w:rPr>
                <w:color w:val="000000" w:themeColor="text1"/>
                <w:sz w:val="20"/>
                <w:szCs w:val="20"/>
              </w:rPr>
              <w:t>fazie PBSz wynosi 100 mg raz na 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dobę, podawane doustnie. </w:t>
            </w:r>
          </w:p>
          <w:p w14:paraId="3BE09FC8" w14:textId="77777777" w:rsidR="00204D8B" w:rsidRPr="00D35C9E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Zalecan</w:t>
            </w:r>
            <w:r w:rsidR="001B733F" w:rsidRPr="00D35C9E">
              <w:rPr>
                <w:color w:val="000000" w:themeColor="text1"/>
                <w:sz w:val="20"/>
                <w:szCs w:val="20"/>
              </w:rPr>
              <w:t>a dawka początkowa dazatynibu w </w:t>
            </w:r>
            <w:r w:rsidRPr="00D35C9E">
              <w:rPr>
                <w:color w:val="000000" w:themeColor="text1"/>
                <w:sz w:val="20"/>
                <w:szCs w:val="20"/>
              </w:rPr>
              <w:t>zaawansowanych fazach choroby wynosi 140 mg raz na dobę, podawane doustnie. Zaawansowane fazy PBSz obejmują fazę akceleracji, fa</w:t>
            </w:r>
            <w:r w:rsidR="00A8675E" w:rsidRPr="00D35C9E">
              <w:rPr>
                <w:color w:val="000000" w:themeColor="text1"/>
                <w:sz w:val="20"/>
                <w:szCs w:val="20"/>
              </w:rPr>
              <w:t>zę przełomu blastycznego, który</w:t>
            </w:r>
            <w:r w:rsidR="00AF04DE" w:rsidRPr="00D35C9E">
              <w:rPr>
                <w:color w:val="000000" w:themeColor="text1"/>
                <w:sz w:val="20"/>
                <w:szCs w:val="20"/>
              </w:rPr>
              <w:t>  </w:t>
            </w:r>
            <w:r w:rsidR="00A8675E" w:rsidRPr="00D35C9E">
              <w:rPr>
                <w:color w:val="000000" w:themeColor="text1"/>
                <w:sz w:val="20"/>
                <w:szCs w:val="20"/>
              </w:rPr>
              <w:t>może</w:t>
            </w:r>
            <w:r w:rsidR="00AF04DE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A8675E" w:rsidRPr="00D35C9E">
              <w:rPr>
                <w:color w:val="000000" w:themeColor="text1"/>
                <w:sz w:val="20"/>
                <w:szCs w:val="20"/>
              </w:rPr>
              <w:t xml:space="preserve">być </w:t>
            </w:r>
            <w:r w:rsidR="001B733F" w:rsidRPr="00D35C9E">
              <w:rPr>
                <w:color w:val="000000" w:themeColor="text1"/>
                <w:sz w:val="20"/>
                <w:szCs w:val="20"/>
              </w:rPr>
              <w:t>m</w:t>
            </w:r>
            <w:r w:rsidR="00A8675E" w:rsidRPr="00D35C9E">
              <w:rPr>
                <w:color w:val="000000" w:themeColor="text1"/>
                <w:sz w:val="20"/>
                <w:szCs w:val="20"/>
              </w:rPr>
              <w:t>ieloblastyczny</w:t>
            </w:r>
            <w:r w:rsidR="007C5382" w:rsidRPr="00D35C9E">
              <w:rPr>
                <w:color w:val="000000" w:themeColor="text1"/>
                <w:sz w:val="20"/>
                <w:szCs w:val="20"/>
              </w:rPr>
              <w:t xml:space="preserve"> lub </w:t>
            </w:r>
            <w:r w:rsidRPr="00D35C9E">
              <w:rPr>
                <w:color w:val="000000" w:themeColor="text1"/>
                <w:sz w:val="20"/>
                <w:szCs w:val="20"/>
              </w:rPr>
              <w:t>limfoblastyczny. Podobnie jest traktowana ostra białaczka limfoblastyczna z chromosomem filadelfijskim (Ph+ALL)</w:t>
            </w:r>
            <w:r w:rsidR="00AF04DE" w:rsidRPr="00D35C9E">
              <w:rPr>
                <w:color w:val="000000" w:themeColor="text1"/>
                <w:sz w:val="20"/>
                <w:szCs w:val="20"/>
              </w:rPr>
              <w:t>.</w:t>
            </w:r>
          </w:p>
          <w:p w14:paraId="335E8BE8" w14:textId="77777777" w:rsidR="001B733F" w:rsidRPr="00D35C9E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W przypadku wystąpienia</w:t>
            </w:r>
            <w:r w:rsidR="007045E2" w:rsidRPr="00D35C9E">
              <w:rPr>
                <w:color w:val="000000" w:themeColor="text1"/>
                <w:sz w:val="20"/>
                <w:szCs w:val="20"/>
              </w:rPr>
              <w:t xml:space="preserve"> toksyczności niehematologicznej lub hematologicznej może być konieczne zaprzestanie podawania dazatynibu przez pewien czas lub zmniejszenie podawanej dawki, zgodnie z wytycznymi zawartymi</w:t>
            </w:r>
            <w:r w:rsidR="000E0365" w:rsidRPr="00D35C9E">
              <w:rPr>
                <w:color w:val="000000" w:themeColor="text1"/>
                <w:sz w:val="20"/>
                <w:szCs w:val="20"/>
              </w:rPr>
              <w:t xml:space="preserve"> w C</w:t>
            </w:r>
            <w:r w:rsidR="007045E2" w:rsidRPr="00D35C9E">
              <w:rPr>
                <w:color w:val="000000" w:themeColor="text1"/>
                <w:sz w:val="20"/>
                <w:szCs w:val="20"/>
              </w:rPr>
              <w:t xml:space="preserve">harakterystyce </w:t>
            </w:r>
            <w:r w:rsidR="000E0365" w:rsidRPr="00D35C9E">
              <w:rPr>
                <w:color w:val="000000" w:themeColor="text1"/>
                <w:sz w:val="20"/>
                <w:szCs w:val="20"/>
              </w:rPr>
              <w:t>Produktu L</w:t>
            </w:r>
            <w:r w:rsidR="007045E2" w:rsidRPr="00D35C9E">
              <w:rPr>
                <w:color w:val="000000" w:themeColor="text1"/>
                <w:sz w:val="20"/>
                <w:szCs w:val="20"/>
              </w:rPr>
              <w:t>eczniczego.</w:t>
            </w:r>
            <w:r w:rsidR="001B733F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D2A0B5D" w14:textId="77777777" w:rsidR="001B733F" w:rsidRPr="00D35C9E" w:rsidRDefault="001B733F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6102BE95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2.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Leczenie przewlekłej białaczki szpikowej nilotynibem</w:t>
            </w:r>
          </w:p>
          <w:p w14:paraId="41564520" w14:textId="77777777" w:rsidR="009337EE" w:rsidRPr="00D35C9E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Zaleca się podawanie dawki 800 mg nilotynibu na</w:t>
            </w:r>
            <w:r w:rsidR="007C5382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dobę, podawanej w dwóch dawkach po 400 mg co około 12 godzin. </w:t>
            </w:r>
          </w:p>
          <w:p w14:paraId="25A6C527" w14:textId="77777777" w:rsidR="00473147" w:rsidRPr="00D35C9E" w:rsidRDefault="00473147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lastRenderedPageBreak/>
              <w:t>W przypadku wystąpienia toksyczności niehematologicznej lub hematologicznej może być konieczne zaprzestanie podawania  nilotynibu przez pewien czas lub zmniejszenie podawanej dawki, zgodnie z wytycznymi zawartymi w </w:t>
            </w:r>
            <w:r w:rsidR="000E0365" w:rsidRPr="00D35C9E">
              <w:rPr>
                <w:color w:val="000000" w:themeColor="text1"/>
                <w:sz w:val="20"/>
                <w:szCs w:val="20"/>
              </w:rPr>
              <w:t>C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harakterystyce </w:t>
            </w:r>
            <w:r w:rsidR="000E0365" w:rsidRPr="00D35C9E">
              <w:rPr>
                <w:color w:val="000000" w:themeColor="text1"/>
                <w:sz w:val="20"/>
                <w:szCs w:val="20"/>
              </w:rPr>
              <w:t>P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roduktu </w:t>
            </w:r>
            <w:r w:rsidR="000E0365" w:rsidRPr="00D35C9E">
              <w:rPr>
                <w:color w:val="000000" w:themeColor="text1"/>
                <w:sz w:val="20"/>
                <w:szCs w:val="20"/>
              </w:rPr>
              <w:t>L</w:t>
            </w:r>
            <w:r w:rsidRPr="00D35C9E">
              <w:rPr>
                <w:color w:val="000000" w:themeColor="text1"/>
                <w:sz w:val="20"/>
                <w:szCs w:val="20"/>
              </w:rPr>
              <w:t>eczniczego.</w:t>
            </w:r>
          </w:p>
          <w:p w14:paraId="09E62B8F" w14:textId="77777777" w:rsidR="00204D8B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5E21BDE0" w14:textId="77777777" w:rsidR="002815E6" w:rsidRDefault="002815E6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53EFA">
              <w:rPr>
                <w:b/>
                <w:color w:val="000000" w:themeColor="text1"/>
                <w:sz w:val="20"/>
                <w:szCs w:val="20"/>
              </w:rPr>
              <w:t>3. Leczenie przewlekłej białaczki bosutynibem</w:t>
            </w:r>
          </w:p>
          <w:p w14:paraId="4F7E2BAA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11CB9">
              <w:rPr>
                <w:sz w:val="20"/>
              </w:rPr>
              <w:t>Zaleca się podawanie dawki 500 mg bosutynibu raz na dobę. Zwiększenie dawki do 600 mg raz na dobę jest dozwolone u pacjentów, u których nie wystąpiły ciężkie ani długotrwałe działania niepożądane o nasileniu umiarkowanym w sytuacji:</w:t>
            </w:r>
          </w:p>
          <w:p w14:paraId="365E0B2D" w14:textId="77777777" w:rsidR="002815E6" w:rsidRPr="002815E6" w:rsidRDefault="002815E6" w:rsidP="00281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815E6">
              <w:rPr>
                <w:sz w:val="20"/>
                <w:szCs w:val="20"/>
              </w:rPr>
              <w:t>nieosiągnięcie całkowitej odpowiedzi hematologicznej do tygodnia 8;</w:t>
            </w:r>
          </w:p>
          <w:p w14:paraId="50DF7ED6" w14:textId="77777777" w:rsidR="002815E6" w:rsidRPr="002815E6" w:rsidRDefault="002815E6" w:rsidP="00281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815E6">
              <w:rPr>
                <w:sz w:val="20"/>
                <w:szCs w:val="20"/>
              </w:rPr>
              <w:t>nieosiągnięcie całkowitej odpowiedzi cytogenetycznej do tygodnia 12.</w:t>
            </w:r>
          </w:p>
          <w:p w14:paraId="2911A824" w14:textId="77777777" w:rsidR="002815E6" w:rsidRPr="00D35C9E" w:rsidRDefault="002815E6" w:rsidP="002815E6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815E6">
              <w:rPr>
                <w:sz w:val="20"/>
                <w:szCs w:val="20"/>
              </w:rPr>
              <w:t>W przypadku wystąpienia toksyczności</w:t>
            </w:r>
            <w:r w:rsidRPr="00811CB9">
              <w:rPr>
                <w:sz w:val="20"/>
              </w:rPr>
              <w:t xml:space="preserve"> niehematologicznej lub hematologicznej może być konieczne zaprzestanie podawania bosutynibu przez pewien czas lub zmniejszenie podawanej dawki</w:t>
            </w:r>
            <w:r>
              <w:rPr>
                <w:sz w:val="20"/>
              </w:rPr>
              <w:t xml:space="preserve"> zgodnie z zapisami zawartymi w ChPL leku Bosulif.</w:t>
            </w:r>
          </w:p>
        </w:tc>
        <w:tc>
          <w:tcPr>
            <w:tcW w:w="1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4319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1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A2465F" w:rsidRPr="00D35C9E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Leczenie </w:t>
            </w:r>
            <w:r w:rsidR="00FE711A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przewlekłej białaczki szpikowej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dazatynibem</w:t>
            </w:r>
          </w:p>
          <w:p w14:paraId="4556DDA3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.1</w:t>
            </w:r>
            <w:r w:rsidR="00A2465F" w:rsidRPr="00D35C9E">
              <w:rPr>
                <w:b/>
                <w:bCs/>
                <w:color w:val="000000" w:themeColor="text1"/>
                <w:sz w:val="20"/>
                <w:szCs w:val="20"/>
              </w:rPr>
              <w:t>. 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Badania przy kwalifikacji</w:t>
            </w:r>
          </w:p>
          <w:p w14:paraId="3081A1F7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morfologia krwi z rozmazem (leukocyty, płytki krwi, blasty),</w:t>
            </w:r>
          </w:p>
          <w:p w14:paraId="782F3BD9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AspAT, AlAT,</w:t>
            </w:r>
          </w:p>
          <w:p w14:paraId="4717D9BC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kreatynina,</w:t>
            </w:r>
          </w:p>
          <w:p w14:paraId="7908DC55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bilirubina,</w:t>
            </w:r>
          </w:p>
          <w:p w14:paraId="63F99D51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fosfataza alkaliczna granulocytów,</w:t>
            </w:r>
          </w:p>
          <w:p w14:paraId="7A1510C0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badania ogólne moczu,</w:t>
            </w:r>
          </w:p>
          <w:p w14:paraId="15309E46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badanie cytogenetyczne szpiku</w:t>
            </w:r>
            <w:r w:rsidR="005E7066" w:rsidRPr="00D35C9E">
              <w:rPr>
                <w:color w:val="000000" w:themeColor="text1"/>
                <w:sz w:val="20"/>
                <w:szCs w:val="20"/>
              </w:rPr>
              <w:t xml:space="preserve"> lub badanie molekularne PCR na obecność genu BCR-ABL,</w:t>
            </w:r>
          </w:p>
          <w:p w14:paraId="0534951C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badanie cytogenetyczne krwi</w:t>
            </w:r>
            <w:r w:rsidR="005E7066" w:rsidRPr="00D35C9E">
              <w:rPr>
                <w:color w:val="000000" w:themeColor="text1"/>
                <w:sz w:val="20"/>
                <w:szCs w:val="20"/>
              </w:rPr>
              <w:t xml:space="preserve"> (opcjonalnie)</w:t>
            </w:r>
            <w:r w:rsidRPr="00D35C9E">
              <w:rPr>
                <w:color w:val="000000" w:themeColor="text1"/>
                <w:sz w:val="20"/>
                <w:szCs w:val="20"/>
              </w:rPr>
              <w:t>,</w:t>
            </w:r>
          </w:p>
          <w:p w14:paraId="4D49170E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badanie cytologiczne szpiku</w:t>
            </w:r>
            <w:r w:rsidR="005E7066" w:rsidRPr="00D35C9E">
              <w:rPr>
                <w:color w:val="000000" w:themeColor="text1"/>
                <w:sz w:val="20"/>
                <w:szCs w:val="20"/>
              </w:rPr>
              <w:t xml:space="preserve"> (opcjonalnie)</w:t>
            </w:r>
            <w:r w:rsidRPr="00D35C9E">
              <w:rPr>
                <w:color w:val="000000" w:themeColor="text1"/>
                <w:sz w:val="20"/>
                <w:szCs w:val="20"/>
              </w:rPr>
              <w:t>,</w:t>
            </w:r>
          </w:p>
          <w:p w14:paraId="080663A8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USG wątroby i śledziony.</w:t>
            </w:r>
          </w:p>
          <w:p w14:paraId="7829E943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1.2</w:t>
            </w:r>
            <w:r w:rsidR="00A2465F" w:rsidRPr="00D35C9E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C74A76" w:rsidRPr="00D35C9E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A2465F" w:rsidRPr="00D35C9E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Monitorowanie leczenia przewlekłej białaczki szpikowej dazatynibem</w:t>
            </w:r>
          </w:p>
          <w:p w14:paraId="7AE6A93F" w14:textId="77777777" w:rsidR="00204D8B" w:rsidRPr="00D35C9E" w:rsidRDefault="00DA2035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Co dwa tygodnie  - przez 12 tygodni, a następnie co 3 miesiące lub zgodnie ze wskazaniami medycznymi</w:t>
            </w:r>
            <w:r w:rsidR="00204D8B" w:rsidRPr="00D35C9E">
              <w:rPr>
                <w:color w:val="000000" w:themeColor="text1"/>
                <w:sz w:val="20"/>
                <w:szCs w:val="20"/>
              </w:rPr>
              <w:t>:</w:t>
            </w:r>
          </w:p>
          <w:p w14:paraId="7DF7C41A" w14:textId="77777777" w:rsidR="00204D8B" w:rsidRPr="00D35C9E" w:rsidRDefault="00204D8B" w:rsidP="007405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morfologia krwi z rozmazem (leukocyty, płytki krwi, blasty),</w:t>
            </w:r>
          </w:p>
          <w:p w14:paraId="252B2124" w14:textId="77777777" w:rsidR="00204D8B" w:rsidRPr="00D35C9E" w:rsidRDefault="00204D8B" w:rsidP="007405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AspAT, AlAT,</w:t>
            </w:r>
          </w:p>
          <w:p w14:paraId="02A33A1F" w14:textId="77777777" w:rsidR="00204D8B" w:rsidRPr="00D35C9E" w:rsidRDefault="00204D8B" w:rsidP="007405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kreatynina,</w:t>
            </w:r>
          </w:p>
          <w:p w14:paraId="4AF97B25" w14:textId="77777777" w:rsidR="00204D8B" w:rsidRPr="00D35C9E" w:rsidRDefault="00204D8B" w:rsidP="007405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bilirubina.</w:t>
            </w:r>
          </w:p>
          <w:p w14:paraId="5FF62A03" w14:textId="77777777" w:rsidR="00204D8B" w:rsidRPr="00D35C9E" w:rsidRDefault="00204D8B" w:rsidP="007F53F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Badanie cytogenetyczne </w:t>
            </w:r>
            <w:r w:rsidR="007F53F0" w:rsidRPr="00D35C9E">
              <w:rPr>
                <w:color w:val="000000" w:themeColor="text1"/>
                <w:sz w:val="20"/>
                <w:szCs w:val="20"/>
              </w:rPr>
              <w:t>lub ilościowe molekularne: co 90 dni do uzyskania całkowitej odpowiedzi cytogenetycznej – CCyR (BCR-</w:t>
            </w:r>
            <w:r w:rsidR="007F53F0" w:rsidRPr="00D35C9E">
              <w:rPr>
                <w:color w:val="000000" w:themeColor="text1"/>
                <w:sz w:val="20"/>
                <w:szCs w:val="20"/>
              </w:rPr>
              <w:lastRenderedPageBreak/>
              <w:t>ABL&lt;1% IS) a następnie ilościowe badanie molekularne co 90 dni.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1B69155" w14:textId="77777777" w:rsidR="0074056C" w:rsidRPr="00D35C9E" w:rsidRDefault="0074056C" w:rsidP="0074056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3F20DFE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C74A76" w:rsidRPr="00D35C9E">
              <w:rPr>
                <w:b/>
                <w:bCs/>
                <w:color w:val="000000" w:themeColor="text1"/>
                <w:sz w:val="20"/>
                <w:szCs w:val="20"/>
              </w:rPr>
              <w:t>. 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Leczenie przewlekłej białaczki szpikowej nilotynibem</w:t>
            </w:r>
          </w:p>
          <w:p w14:paraId="080FB840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.1</w:t>
            </w:r>
            <w:r w:rsidR="00C74A76" w:rsidRPr="00D35C9E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Badania przy kwalifikacji</w:t>
            </w:r>
          </w:p>
          <w:p w14:paraId="5E1C13BD" w14:textId="77777777" w:rsidR="00204D8B" w:rsidRPr="00D35C9E" w:rsidRDefault="00204D8B" w:rsidP="007405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morfologia krwi z rozmazem (leukocyty, płytki krwi, blasty),</w:t>
            </w:r>
          </w:p>
          <w:p w14:paraId="762E251B" w14:textId="77777777" w:rsidR="00204D8B" w:rsidRPr="00D35C9E" w:rsidRDefault="00204D8B" w:rsidP="007405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AspAT, AlAT,</w:t>
            </w:r>
          </w:p>
          <w:p w14:paraId="635268C7" w14:textId="77777777" w:rsidR="00204D8B" w:rsidRPr="00D35C9E" w:rsidRDefault="00204D8B" w:rsidP="007405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kreatynina,</w:t>
            </w:r>
          </w:p>
          <w:p w14:paraId="6B8A90C1" w14:textId="77777777" w:rsidR="00204D8B" w:rsidRPr="00D35C9E" w:rsidRDefault="00204D8B" w:rsidP="007405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bilirubina,</w:t>
            </w:r>
          </w:p>
          <w:p w14:paraId="3DE01C9F" w14:textId="77777777" w:rsidR="00204D8B" w:rsidRPr="00D35C9E" w:rsidRDefault="00204D8B" w:rsidP="007405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fosfataza alkaliczna granulocytów,</w:t>
            </w:r>
          </w:p>
          <w:p w14:paraId="59B6D7CD" w14:textId="77777777" w:rsidR="00204D8B" w:rsidRPr="00D35C9E" w:rsidRDefault="00204D8B" w:rsidP="007405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badania ogólne moczu,</w:t>
            </w:r>
          </w:p>
          <w:p w14:paraId="5681BDB8" w14:textId="77777777" w:rsidR="005E7066" w:rsidRPr="00D35C9E" w:rsidRDefault="00204D8B" w:rsidP="005E70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badanie cytogenetyczne szpiku</w:t>
            </w:r>
            <w:r w:rsidR="005E7066" w:rsidRPr="00D35C9E">
              <w:rPr>
                <w:color w:val="000000" w:themeColor="text1"/>
                <w:sz w:val="20"/>
                <w:szCs w:val="20"/>
              </w:rPr>
              <w:t xml:space="preserve"> lub badanie molekularne PCR na obecność genu BCR-ABL,</w:t>
            </w:r>
          </w:p>
          <w:p w14:paraId="4A582B69" w14:textId="77777777" w:rsidR="00204D8B" w:rsidRPr="00D35C9E" w:rsidRDefault="00204D8B" w:rsidP="005E70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badanie cytogenetyczne krwi</w:t>
            </w:r>
            <w:r w:rsidR="0079202F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066" w:rsidRPr="00D35C9E">
              <w:rPr>
                <w:color w:val="000000" w:themeColor="text1"/>
                <w:sz w:val="20"/>
                <w:szCs w:val="20"/>
              </w:rPr>
              <w:t>(opcjonalnie),</w:t>
            </w:r>
          </w:p>
          <w:p w14:paraId="338646BE" w14:textId="77777777" w:rsidR="00204D8B" w:rsidRPr="00D35C9E" w:rsidRDefault="00204D8B" w:rsidP="005E70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badanie cytologiczne szpiku</w:t>
            </w:r>
            <w:r w:rsidR="0079202F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066" w:rsidRPr="00D35C9E">
              <w:rPr>
                <w:color w:val="000000" w:themeColor="text1"/>
                <w:sz w:val="20"/>
                <w:szCs w:val="20"/>
              </w:rPr>
              <w:t>(opcjonalnie),</w:t>
            </w:r>
          </w:p>
          <w:p w14:paraId="4154BA92" w14:textId="77777777" w:rsidR="00204D8B" w:rsidRPr="00D35C9E" w:rsidRDefault="00204D8B" w:rsidP="007405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USG wątroby i śledziony.</w:t>
            </w:r>
          </w:p>
          <w:p w14:paraId="6A863AD1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.2</w:t>
            </w:r>
            <w:r w:rsidR="001F5417" w:rsidRPr="00D35C9E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Monitorowanie leczenia przewlekłej białaczki szpikowej nilotynibem</w:t>
            </w:r>
          </w:p>
          <w:p w14:paraId="3A8B6494" w14:textId="77777777" w:rsidR="00204D8B" w:rsidRPr="00D35C9E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Raz w miesiącu (po uzyskaniu</w:t>
            </w:r>
            <w:r w:rsidR="007F53F0" w:rsidRPr="00D35C9E">
              <w:rPr>
                <w:color w:val="000000" w:themeColor="text1"/>
                <w:sz w:val="20"/>
                <w:szCs w:val="20"/>
              </w:rPr>
              <w:t xml:space="preserve"> całkowitej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 remisji hematologicznej co</w:t>
            </w:r>
            <w:r w:rsidR="00266C45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90 dni):</w:t>
            </w:r>
          </w:p>
          <w:p w14:paraId="109E56E3" w14:textId="77777777" w:rsidR="00204D8B" w:rsidRPr="00D35C9E" w:rsidRDefault="00204D8B" w:rsidP="0074056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morfologia krwi z rozmazem (leukocyty, płytki krwi, blasty),</w:t>
            </w:r>
          </w:p>
          <w:p w14:paraId="25780321" w14:textId="77777777" w:rsidR="00204D8B" w:rsidRPr="00D35C9E" w:rsidRDefault="00204D8B" w:rsidP="0074056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AspAT, AlAT,</w:t>
            </w:r>
          </w:p>
          <w:p w14:paraId="081CD977" w14:textId="77777777" w:rsidR="00204D8B" w:rsidRPr="00D35C9E" w:rsidRDefault="00204D8B" w:rsidP="0074056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kreatynina,</w:t>
            </w:r>
          </w:p>
          <w:p w14:paraId="55CF60DA" w14:textId="77777777" w:rsidR="00204D8B" w:rsidRPr="00D35C9E" w:rsidRDefault="00204D8B" w:rsidP="0074056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bilirubina.</w:t>
            </w:r>
          </w:p>
          <w:p w14:paraId="0FC374FF" w14:textId="77777777" w:rsidR="0074056C" w:rsidRDefault="000C115F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Badanie cytogenetyczne lub ilościowe molekularne: co 90 dni do uzyskania całkowitej odpowiedzi cytogenetycznej – CCyR (BCR-ABL&lt;1% IS) a następnie ilościowe badanie molekularne co 90 dni. </w:t>
            </w:r>
          </w:p>
          <w:p w14:paraId="586C2065" w14:textId="77777777" w:rsidR="002815E6" w:rsidRPr="00D35C9E" w:rsidRDefault="002815E6" w:rsidP="0074056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14"/>
                <w:szCs w:val="20"/>
              </w:rPr>
            </w:pPr>
          </w:p>
          <w:p w14:paraId="4723A0A7" w14:textId="77777777" w:rsidR="0030084A" w:rsidRDefault="0030084A" w:rsidP="0074056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3. Leczenie przewlekłej białaczki szpikowej bosutynibem</w:t>
            </w:r>
          </w:p>
          <w:p w14:paraId="3CD6F7F7" w14:textId="77777777" w:rsidR="0030084A" w:rsidRPr="00811CB9" w:rsidRDefault="0030084A" w:rsidP="0030084A">
            <w:p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  <w:r w:rsidRPr="00811CB9">
              <w:rPr>
                <w:b/>
                <w:bCs/>
                <w:sz w:val="20"/>
              </w:rPr>
              <w:t>1. Badania przy kwalifikacji</w:t>
            </w:r>
          </w:p>
          <w:p w14:paraId="1DF39BA5" w14:textId="77777777" w:rsidR="0030084A" w:rsidRPr="00811CB9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lastRenderedPageBreak/>
              <w:t>morfologia krwi z rozmazem (leukocyty, płytki krwi, blasty),</w:t>
            </w:r>
          </w:p>
          <w:p w14:paraId="25A6C569" w14:textId="77777777" w:rsidR="0030084A" w:rsidRPr="00811CB9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AspAT, AlAT,</w:t>
            </w:r>
          </w:p>
          <w:p w14:paraId="09F01707" w14:textId="77777777" w:rsidR="0030084A" w:rsidRPr="00811CB9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kreatynina,</w:t>
            </w:r>
          </w:p>
          <w:p w14:paraId="5AB01EC4" w14:textId="77777777" w:rsidR="0030084A" w:rsidRPr="00811CB9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bilirubina,</w:t>
            </w:r>
          </w:p>
          <w:p w14:paraId="31991A06" w14:textId="77777777" w:rsidR="0030084A" w:rsidRPr="00811CB9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badanie EKG,</w:t>
            </w:r>
          </w:p>
          <w:p w14:paraId="59882355" w14:textId="77777777" w:rsidR="0030084A" w:rsidRPr="00180A73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badanie cytogenetyczne szpiku</w:t>
            </w:r>
            <w:r w:rsidRPr="00180A73">
              <w:rPr>
                <w:sz w:val="20"/>
              </w:rPr>
              <w:t>,</w:t>
            </w:r>
          </w:p>
          <w:p w14:paraId="56C054D6" w14:textId="77777777" w:rsidR="0030084A" w:rsidRPr="00180A73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180A73">
              <w:rPr>
                <w:sz w:val="20"/>
              </w:rPr>
              <w:t>badanie cytologiczne szpiku,</w:t>
            </w:r>
          </w:p>
          <w:p w14:paraId="2B83713B" w14:textId="77777777" w:rsidR="0030084A" w:rsidRPr="00811CB9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badanie molekularne PCR na obecność genu BCR-</w:t>
            </w:r>
            <w:r>
              <w:rPr>
                <w:sz w:val="20"/>
              </w:rPr>
              <w:t xml:space="preserve">   </w:t>
            </w:r>
            <w:r w:rsidRPr="00811CB9">
              <w:rPr>
                <w:sz w:val="20"/>
              </w:rPr>
              <w:t>ABL,</w:t>
            </w:r>
          </w:p>
          <w:p w14:paraId="6C9BB5F4" w14:textId="77777777" w:rsidR="0030084A" w:rsidRPr="0030084A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 xml:space="preserve">badanie przesiewowe w kierunku wirusowego zapalenia wątroby typu B. </w:t>
            </w:r>
          </w:p>
          <w:p w14:paraId="1B48B60C" w14:textId="0F9826C5" w:rsidR="0030084A" w:rsidRPr="00460CD4" w:rsidRDefault="0030084A" w:rsidP="0030084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  <w:r w:rsidRPr="00811CB9">
              <w:rPr>
                <w:b/>
                <w:bCs/>
                <w:sz w:val="20"/>
              </w:rPr>
              <w:t>2. Monitorowanie leczenia przewlekłej białaczki szpikowej bosutynibem</w:t>
            </w:r>
          </w:p>
          <w:p w14:paraId="4F7CBC55" w14:textId="77777777" w:rsidR="0030084A" w:rsidRPr="00811CB9" w:rsidRDefault="0030084A" w:rsidP="00300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11CB9">
              <w:rPr>
                <w:sz w:val="20"/>
              </w:rPr>
              <w:t>Raz w miesiącu (po uzyskaniu całkowitej remisji hematologicznej co 90 dni):</w:t>
            </w:r>
          </w:p>
          <w:p w14:paraId="7F51D7C6" w14:textId="77777777" w:rsidR="0030084A" w:rsidRPr="00811CB9" w:rsidRDefault="0030084A" w:rsidP="0030084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morfologia krwi z rozmazem (leukocyty, płytki krwi, blasty),</w:t>
            </w:r>
          </w:p>
          <w:p w14:paraId="01CFD167" w14:textId="77777777" w:rsidR="0030084A" w:rsidRPr="00811CB9" w:rsidRDefault="0030084A" w:rsidP="0030084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AspAT, AlAT,</w:t>
            </w:r>
          </w:p>
          <w:p w14:paraId="1CA1034F" w14:textId="77777777" w:rsidR="0030084A" w:rsidRPr="00811CB9" w:rsidRDefault="0030084A" w:rsidP="0030084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kreatynina,</w:t>
            </w:r>
          </w:p>
          <w:p w14:paraId="6808AB97" w14:textId="77777777" w:rsidR="0030084A" w:rsidRPr="00811CB9" w:rsidRDefault="0030084A" w:rsidP="0030084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bilirubina.</w:t>
            </w:r>
          </w:p>
          <w:p w14:paraId="2FABB20C" w14:textId="77777777" w:rsidR="0030084A" w:rsidRPr="00811CB9" w:rsidRDefault="0030084A" w:rsidP="0030084A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>Badanie EKG co 90 dni lub częściej</w:t>
            </w:r>
            <w:r w:rsidRPr="00AC7FAB">
              <w:rPr>
                <w:sz w:val="20"/>
              </w:rPr>
              <w:t xml:space="preserve"> w</w:t>
            </w:r>
            <w:r>
              <w:rPr>
                <w:sz w:val="20"/>
              </w:rPr>
              <w:t xml:space="preserve"> </w:t>
            </w:r>
            <w:r w:rsidRPr="00AC7FAB">
              <w:rPr>
                <w:sz w:val="20"/>
              </w:rPr>
              <w:t>przypadkach uzasadnionych klinicznie</w:t>
            </w:r>
            <w:r>
              <w:rPr>
                <w:sz w:val="20"/>
              </w:rPr>
              <w:t>.</w:t>
            </w:r>
          </w:p>
          <w:p w14:paraId="68DA494E" w14:textId="77777777" w:rsidR="0030084A" w:rsidRDefault="0030084A" w:rsidP="00460C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11CB9">
              <w:rPr>
                <w:sz w:val="20"/>
              </w:rPr>
              <w:t xml:space="preserve">Badanie cytogenetyczne lub ilościowe molekularne: co 90 dni  do uzyskania całkowitej odpowiedzi cytogenetycznej CCyR </w:t>
            </w:r>
            <w:r>
              <w:rPr>
                <w:sz w:val="20"/>
              </w:rPr>
              <w:t xml:space="preserve">lub </w:t>
            </w:r>
            <w:r w:rsidRPr="00811CB9">
              <w:rPr>
                <w:sz w:val="20"/>
              </w:rPr>
              <w:t>BCR-ABL &lt;1% [IS]*(MR</w:t>
            </w:r>
            <w:r w:rsidRPr="00811CB9">
              <w:rPr>
                <w:sz w:val="20"/>
                <w:vertAlign w:val="superscript"/>
              </w:rPr>
              <w:t>2</w:t>
            </w:r>
            <w:r w:rsidRPr="00811CB9">
              <w:rPr>
                <w:sz w:val="20"/>
              </w:rPr>
              <w:t>)</w:t>
            </w:r>
            <w:r>
              <w:rPr>
                <w:sz w:val="20"/>
              </w:rPr>
              <w:t>,</w:t>
            </w:r>
            <w:r w:rsidRPr="00811CB9">
              <w:rPr>
                <w:sz w:val="20"/>
              </w:rPr>
              <w:t xml:space="preserve">  a następnie ilościowe badanie molekularne co 90 dni *</w:t>
            </w:r>
          </w:p>
          <w:p w14:paraId="193B121A" w14:textId="77777777" w:rsidR="0030084A" w:rsidRDefault="0030084A" w:rsidP="0074056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A321DFB" w14:textId="77777777" w:rsidR="001F5417" w:rsidRPr="00D35C9E" w:rsidRDefault="0030084A" w:rsidP="0074056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1F5417" w:rsidRPr="00D35C9E">
              <w:rPr>
                <w:b/>
                <w:bCs/>
                <w:color w:val="000000" w:themeColor="text1"/>
                <w:sz w:val="20"/>
                <w:szCs w:val="20"/>
              </w:rPr>
              <w:t>. Monitorowanie programu:</w:t>
            </w:r>
          </w:p>
          <w:p w14:paraId="3FB4D1F1" w14:textId="77777777" w:rsidR="00397CDA" w:rsidRPr="00D35C9E" w:rsidRDefault="00397CDA" w:rsidP="00460CD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gromadzenie w dokumentacji medycznej pacjenta danych</w:t>
            </w:r>
          </w:p>
          <w:p w14:paraId="16E6E764" w14:textId="77777777" w:rsidR="00397CDA" w:rsidRPr="00D35C9E" w:rsidRDefault="00397CDA" w:rsidP="00460CD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D35C9E">
              <w:rPr>
                <w:rFonts w:eastAsia="TimesNewRomanPSMT"/>
                <w:color w:val="000000" w:themeColor="text1"/>
                <w:sz w:val="20"/>
                <w:szCs w:val="20"/>
              </w:rPr>
              <w:t>dotyczących monitorowania leczenia i każdorazowe ich</w:t>
            </w:r>
          </w:p>
          <w:p w14:paraId="33479CD4" w14:textId="77777777" w:rsidR="00397CDA" w:rsidRPr="00D35C9E" w:rsidRDefault="00397CDA" w:rsidP="00460CD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D35C9E">
              <w:rPr>
                <w:rFonts w:eastAsia="TimesNewRomanPSMT"/>
                <w:color w:val="000000" w:themeColor="text1"/>
                <w:sz w:val="20"/>
                <w:szCs w:val="20"/>
              </w:rPr>
              <w:t>przedstawianie na żądanie kontrolerów Narodowego</w:t>
            </w:r>
          </w:p>
          <w:p w14:paraId="5D583F04" w14:textId="77777777" w:rsidR="00397CDA" w:rsidRPr="00D35C9E" w:rsidRDefault="00397CDA" w:rsidP="00460CD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lastRenderedPageBreak/>
              <w:t>Funduszu Zdrowia;</w:t>
            </w:r>
          </w:p>
          <w:p w14:paraId="1D7659AB" w14:textId="77777777" w:rsidR="00397CDA" w:rsidRPr="00D35C9E" w:rsidRDefault="00397CDA" w:rsidP="00460CD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rFonts w:eastAsia="TimesNewRomanPSMT"/>
                <w:color w:val="000000" w:themeColor="text1"/>
                <w:sz w:val="20"/>
                <w:szCs w:val="20"/>
              </w:rPr>
              <w:t xml:space="preserve">uzupełnienie danych zawartych </w:t>
            </w:r>
            <w:r w:rsidRPr="00D35C9E">
              <w:rPr>
                <w:color w:val="000000" w:themeColor="text1"/>
                <w:sz w:val="20"/>
                <w:szCs w:val="20"/>
              </w:rPr>
              <w:t>w rejestrze (SMPT)</w:t>
            </w:r>
          </w:p>
          <w:p w14:paraId="605AA719" w14:textId="77777777" w:rsidR="00397CDA" w:rsidRPr="00D35C9E" w:rsidRDefault="00397CDA" w:rsidP="00460CD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D35C9E">
              <w:rPr>
                <w:rFonts w:eastAsia="TimesNewRomanPSMT"/>
                <w:color w:val="000000" w:themeColor="text1"/>
                <w:sz w:val="20"/>
                <w:szCs w:val="20"/>
              </w:rPr>
              <w:t>dostępnym za pomocą aplikacji internetowej udostępnionej przez OW NFZ, z częstotliwością zgodną z opisem programu oraz na zakończenie leczenia;</w:t>
            </w:r>
          </w:p>
          <w:p w14:paraId="10C949D8" w14:textId="77777777" w:rsidR="00204D8B" w:rsidRPr="00D35C9E" w:rsidRDefault="00397CDA" w:rsidP="00460CD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przekazywanie informacji sprawozdawczo-rozliczeniowych </w:t>
            </w:r>
            <w:r w:rsidRPr="00D35C9E">
              <w:rPr>
                <w:rFonts w:eastAsia="TimesNewRomanPSMT"/>
                <w:color w:val="000000" w:themeColor="text1"/>
                <w:sz w:val="20"/>
                <w:szCs w:val="20"/>
              </w:rPr>
              <w:t xml:space="preserve">do NFZ: informacje przekazuje się do </w:t>
            </w:r>
            <w:r w:rsidRPr="00D35C9E">
              <w:rPr>
                <w:color w:val="000000" w:themeColor="text1"/>
                <w:sz w:val="20"/>
                <w:szCs w:val="20"/>
              </w:rPr>
              <w:t>NFZ w formie papierowej lub w formie elektronicznej, zgodnie z wymaganiami opublikowanymi przez Narodowy Fundusz Zdrowia.</w:t>
            </w:r>
          </w:p>
        </w:tc>
      </w:tr>
    </w:tbl>
    <w:p w14:paraId="6BCECA88" w14:textId="77777777" w:rsidR="00C141E2" w:rsidRPr="00D35C9E" w:rsidRDefault="002815E6" w:rsidP="008D5F7F">
      <w:pPr>
        <w:autoSpaceDE w:val="0"/>
        <w:autoSpaceDN w:val="0"/>
        <w:adjustRightInd w:val="0"/>
        <w:spacing w:before="120"/>
        <w:rPr>
          <w:rFonts w:ascii="Courier New" w:hAnsi="Courier New"/>
          <w:color w:val="000000" w:themeColor="text1"/>
        </w:rPr>
      </w:pPr>
      <w:r w:rsidRPr="00327484">
        <w:rPr>
          <w:sz w:val="18"/>
          <w:szCs w:val="18"/>
        </w:rPr>
        <w:lastRenderedPageBreak/>
        <w:t>*Badania wykonywane wyłącznie w laboratoriach, które uzyskały certyfikat standaryzacji oznaczania genu BCR/ABL wydawany przez PALG (Polish Adult Leukemia Group) lub Polskie Towarzystwo Genetyki Człowieka</w:t>
      </w:r>
    </w:p>
    <w:sectPr w:rsidR="00C141E2" w:rsidRPr="00D35C9E" w:rsidSect="00B23905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2A2DB" w14:textId="77777777" w:rsidR="0033529D" w:rsidRDefault="0033529D" w:rsidP="00345C05">
      <w:r>
        <w:separator/>
      </w:r>
    </w:p>
  </w:endnote>
  <w:endnote w:type="continuationSeparator" w:id="0">
    <w:p w14:paraId="2E3B6ED5" w14:textId="77777777" w:rsidR="0033529D" w:rsidRDefault="0033529D" w:rsidP="0034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4C13A" w14:textId="77777777" w:rsidR="0033529D" w:rsidRDefault="0033529D" w:rsidP="00345C05">
      <w:r>
        <w:separator/>
      </w:r>
    </w:p>
  </w:footnote>
  <w:footnote w:type="continuationSeparator" w:id="0">
    <w:p w14:paraId="1E3B2B24" w14:textId="77777777" w:rsidR="0033529D" w:rsidRDefault="0033529D" w:rsidP="0034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0AF7"/>
    <w:multiLevelType w:val="hybridMultilevel"/>
    <w:tmpl w:val="324E5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0DB9"/>
    <w:multiLevelType w:val="hybridMultilevel"/>
    <w:tmpl w:val="2460D7BA"/>
    <w:lvl w:ilvl="0" w:tplc="2A0674B8">
      <w:start w:val="1"/>
      <w:numFmt w:val="decimal"/>
      <w:lvlText w:val="%1)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214C1B3A"/>
    <w:multiLevelType w:val="hybridMultilevel"/>
    <w:tmpl w:val="66DC7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A06B0"/>
    <w:multiLevelType w:val="hybridMultilevel"/>
    <w:tmpl w:val="2000EAD4"/>
    <w:lvl w:ilvl="0" w:tplc="7444CDEA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F02F5"/>
    <w:multiLevelType w:val="hybridMultilevel"/>
    <w:tmpl w:val="37B8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11953"/>
    <w:multiLevelType w:val="hybridMultilevel"/>
    <w:tmpl w:val="6B4CE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83A08"/>
    <w:multiLevelType w:val="hybridMultilevel"/>
    <w:tmpl w:val="30F82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92A6E"/>
    <w:multiLevelType w:val="hybridMultilevel"/>
    <w:tmpl w:val="03E01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90FA0"/>
    <w:multiLevelType w:val="hybridMultilevel"/>
    <w:tmpl w:val="58E0F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00AF3"/>
    <w:multiLevelType w:val="hybridMultilevel"/>
    <w:tmpl w:val="8D3488E2"/>
    <w:lvl w:ilvl="0" w:tplc="91ACDA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2370A"/>
    <w:multiLevelType w:val="hybridMultilevel"/>
    <w:tmpl w:val="62B08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B64AA"/>
    <w:multiLevelType w:val="hybridMultilevel"/>
    <w:tmpl w:val="BA3AF37A"/>
    <w:lvl w:ilvl="0" w:tplc="2E9C89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60F23"/>
    <w:multiLevelType w:val="hybridMultilevel"/>
    <w:tmpl w:val="C618FF04"/>
    <w:lvl w:ilvl="0" w:tplc="4E14CE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003D5"/>
    <w:multiLevelType w:val="hybridMultilevel"/>
    <w:tmpl w:val="778C9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356F1"/>
    <w:multiLevelType w:val="hybridMultilevel"/>
    <w:tmpl w:val="F522C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7E06"/>
    <w:multiLevelType w:val="hybridMultilevel"/>
    <w:tmpl w:val="48624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06E0F"/>
    <w:multiLevelType w:val="hybridMultilevel"/>
    <w:tmpl w:val="E80839FA"/>
    <w:lvl w:ilvl="0" w:tplc="895E589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84022D"/>
    <w:multiLevelType w:val="hybridMultilevel"/>
    <w:tmpl w:val="398299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331861"/>
    <w:multiLevelType w:val="hybridMultilevel"/>
    <w:tmpl w:val="0FA0C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0"/>
  </w:num>
  <w:num w:numId="5">
    <w:abstractNumId w:val="17"/>
  </w:num>
  <w:num w:numId="6">
    <w:abstractNumId w:val="10"/>
  </w:num>
  <w:num w:numId="7">
    <w:abstractNumId w:val="7"/>
  </w:num>
  <w:num w:numId="8">
    <w:abstractNumId w:val="18"/>
  </w:num>
  <w:num w:numId="9">
    <w:abstractNumId w:val="5"/>
  </w:num>
  <w:num w:numId="10">
    <w:abstractNumId w:val="8"/>
  </w:num>
  <w:num w:numId="11">
    <w:abstractNumId w:val="13"/>
  </w:num>
  <w:num w:numId="12">
    <w:abstractNumId w:val="11"/>
  </w:num>
  <w:num w:numId="13">
    <w:abstractNumId w:val="6"/>
  </w:num>
  <w:num w:numId="14">
    <w:abstractNumId w:val="2"/>
  </w:num>
  <w:num w:numId="15">
    <w:abstractNumId w:val="1"/>
  </w:num>
  <w:num w:numId="16">
    <w:abstractNumId w:val="3"/>
  </w:num>
  <w:num w:numId="17">
    <w:abstractNumId w:val="4"/>
  </w:num>
  <w:num w:numId="18">
    <w:abstractNumId w:val="12"/>
  </w:num>
  <w:num w:numId="1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3"/>
    <w:rsid w:val="00001AF1"/>
    <w:rsid w:val="00021CA4"/>
    <w:rsid w:val="00051C76"/>
    <w:rsid w:val="0007664C"/>
    <w:rsid w:val="00095D6D"/>
    <w:rsid w:val="000C115F"/>
    <w:rsid w:val="000D6F46"/>
    <w:rsid w:val="000E0365"/>
    <w:rsid w:val="000F2738"/>
    <w:rsid w:val="000F5CFF"/>
    <w:rsid w:val="001077C1"/>
    <w:rsid w:val="00110791"/>
    <w:rsid w:val="00120102"/>
    <w:rsid w:val="00144C47"/>
    <w:rsid w:val="00146E1C"/>
    <w:rsid w:val="001551BA"/>
    <w:rsid w:val="00187119"/>
    <w:rsid w:val="001B733F"/>
    <w:rsid w:val="001D5AE1"/>
    <w:rsid w:val="001F0FEB"/>
    <w:rsid w:val="001F5417"/>
    <w:rsid w:val="00204D8B"/>
    <w:rsid w:val="002148D9"/>
    <w:rsid w:val="00221D34"/>
    <w:rsid w:val="00234BA6"/>
    <w:rsid w:val="002463DC"/>
    <w:rsid w:val="00262FAC"/>
    <w:rsid w:val="00266C45"/>
    <w:rsid w:val="00271ECB"/>
    <w:rsid w:val="00280A67"/>
    <w:rsid w:val="002815E6"/>
    <w:rsid w:val="002E06D8"/>
    <w:rsid w:val="002E65F1"/>
    <w:rsid w:val="0030084A"/>
    <w:rsid w:val="00300977"/>
    <w:rsid w:val="0030787D"/>
    <w:rsid w:val="00317455"/>
    <w:rsid w:val="0033529D"/>
    <w:rsid w:val="00345C05"/>
    <w:rsid w:val="0036679F"/>
    <w:rsid w:val="00392C92"/>
    <w:rsid w:val="00397CDA"/>
    <w:rsid w:val="003F4A58"/>
    <w:rsid w:val="004311BB"/>
    <w:rsid w:val="00434760"/>
    <w:rsid w:val="004452DD"/>
    <w:rsid w:val="004572FB"/>
    <w:rsid w:val="00457B87"/>
    <w:rsid w:val="00460CD4"/>
    <w:rsid w:val="00472B65"/>
    <w:rsid w:val="00473147"/>
    <w:rsid w:val="00484513"/>
    <w:rsid w:val="00496B60"/>
    <w:rsid w:val="00497A25"/>
    <w:rsid w:val="004D1DB4"/>
    <w:rsid w:val="00511692"/>
    <w:rsid w:val="0051556E"/>
    <w:rsid w:val="00523C92"/>
    <w:rsid w:val="00547315"/>
    <w:rsid w:val="00551F82"/>
    <w:rsid w:val="005A166A"/>
    <w:rsid w:val="005B20B9"/>
    <w:rsid w:val="005D382E"/>
    <w:rsid w:val="005E7066"/>
    <w:rsid w:val="00630453"/>
    <w:rsid w:val="00633BBE"/>
    <w:rsid w:val="00642285"/>
    <w:rsid w:val="00650BB0"/>
    <w:rsid w:val="0069011B"/>
    <w:rsid w:val="006A3735"/>
    <w:rsid w:val="006B16DA"/>
    <w:rsid w:val="006B1A72"/>
    <w:rsid w:val="006C09CE"/>
    <w:rsid w:val="006C57A6"/>
    <w:rsid w:val="006F42E7"/>
    <w:rsid w:val="007016FB"/>
    <w:rsid w:val="007039CD"/>
    <w:rsid w:val="007045E2"/>
    <w:rsid w:val="0074056C"/>
    <w:rsid w:val="00743C43"/>
    <w:rsid w:val="0079202F"/>
    <w:rsid w:val="007A6480"/>
    <w:rsid w:val="007B34F4"/>
    <w:rsid w:val="007C5382"/>
    <w:rsid w:val="007D188D"/>
    <w:rsid w:val="007D6F88"/>
    <w:rsid w:val="007E576A"/>
    <w:rsid w:val="007F53F0"/>
    <w:rsid w:val="008003DD"/>
    <w:rsid w:val="008012C0"/>
    <w:rsid w:val="00835CC2"/>
    <w:rsid w:val="0084138F"/>
    <w:rsid w:val="00846A82"/>
    <w:rsid w:val="008D1E51"/>
    <w:rsid w:val="008D5F7F"/>
    <w:rsid w:val="00905EC7"/>
    <w:rsid w:val="00922443"/>
    <w:rsid w:val="009337EE"/>
    <w:rsid w:val="009530A8"/>
    <w:rsid w:val="00991405"/>
    <w:rsid w:val="009B436D"/>
    <w:rsid w:val="009D3768"/>
    <w:rsid w:val="009E35A1"/>
    <w:rsid w:val="009E40C3"/>
    <w:rsid w:val="00A15F75"/>
    <w:rsid w:val="00A16E9D"/>
    <w:rsid w:val="00A23F3F"/>
    <w:rsid w:val="00A2465F"/>
    <w:rsid w:val="00A605BB"/>
    <w:rsid w:val="00A8675E"/>
    <w:rsid w:val="00AA077D"/>
    <w:rsid w:val="00AA32EB"/>
    <w:rsid w:val="00AC0FFA"/>
    <w:rsid w:val="00AC597A"/>
    <w:rsid w:val="00AD120E"/>
    <w:rsid w:val="00AD3ECB"/>
    <w:rsid w:val="00AE4466"/>
    <w:rsid w:val="00AF04DE"/>
    <w:rsid w:val="00B23905"/>
    <w:rsid w:val="00B51861"/>
    <w:rsid w:val="00B96E92"/>
    <w:rsid w:val="00B97FD8"/>
    <w:rsid w:val="00BD3F11"/>
    <w:rsid w:val="00BF291F"/>
    <w:rsid w:val="00C07AEB"/>
    <w:rsid w:val="00C141E2"/>
    <w:rsid w:val="00C14611"/>
    <w:rsid w:val="00C2602F"/>
    <w:rsid w:val="00C448D0"/>
    <w:rsid w:val="00C74A76"/>
    <w:rsid w:val="00C761F2"/>
    <w:rsid w:val="00C81E9D"/>
    <w:rsid w:val="00C95315"/>
    <w:rsid w:val="00CA491B"/>
    <w:rsid w:val="00CF4389"/>
    <w:rsid w:val="00D2146C"/>
    <w:rsid w:val="00D24D72"/>
    <w:rsid w:val="00D35C9E"/>
    <w:rsid w:val="00D42B9E"/>
    <w:rsid w:val="00D60E48"/>
    <w:rsid w:val="00D65309"/>
    <w:rsid w:val="00D83AB3"/>
    <w:rsid w:val="00D97F15"/>
    <w:rsid w:val="00DA2035"/>
    <w:rsid w:val="00DA6460"/>
    <w:rsid w:val="00DF3ED0"/>
    <w:rsid w:val="00E042ED"/>
    <w:rsid w:val="00E05391"/>
    <w:rsid w:val="00E14F70"/>
    <w:rsid w:val="00E53EFA"/>
    <w:rsid w:val="00E625A8"/>
    <w:rsid w:val="00E8064E"/>
    <w:rsid w:val="00E847FF"/>
    <w:rsid w:val="00E97AA6"/>
    <w:rsid w:val="00EB732A"/>
    <w:rsid w:val="00EC1DF6"/>
    <w:rsid w:val="00F228E5"/>
    <w:rsid w:val="00F420D0"/>
    <w:rsid w:val="00F42557"/>
    <w:rsid w:val="00F5531B"/>
    <w:rsid w:val="00FC5042"/>
    <w:rsid w:val="00FE0FC9"/>
    <w:rsid w:val="00FE3ACF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63A2D"/>
  <w15:docId w15:val="{3771B885-DD3B-42A9-893F-4E97779E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51169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24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463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45C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45C0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5C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5C0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16E9D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2815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815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815E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815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815E6"/>
    <w:rPr>
      <w:b/>
      <w:bCs/>
    </w:rPr>
  </w:style>
  <w:style w:type="paragraph" w:styleId="Poprawka">
    <w:name w:val="Revision"/>
    <w:hidden/>
    <w:uiPriority w:val="99"/>
    <w:semiHidden/>
    <w:rsid w:val="002815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A1F81-BD45-42D7-B1B2-1ED9BD22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1899</Words>
  <Characters>12513</Characters>
  <DocSecurity>0</DocSecurity>
  <Lines>104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2017-06-02T10:12:00Z</cp:lastPrinted>
  <dcterms:created xsi:type="dcterms:W3CDTF">2017-06-07T10:20:00Z</dcterms:created>
  <dcterms:modified xsi:type="dcterms:W3CDTF">2017-06-08T09:46:00Z</dcterms:modified>
</cp:coreProperties>
</file>