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2A" w:rsidRPr="000479E7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0479E7">
        <w:rPr>
          <w:rFonts w:ascii="Times New Roman" w:hAnsi="Times New Roman"/>
          <w:color w:val="000000" w:themeColor="text1"/>
          <w:sz w:val="22"/>
          <w:szCs w:val="22"/>
        </w:rPr>
        <w:t>Załącznik B.29.</w:t>
      </w:r>
    </w:p>
    <w:p w:rsidR="00D50D2A" w:rsidRPr="000479E7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D50D2A" w:rsidRPr="000479E7" w:rsidRDefault="00D50D2A" w:rsidP="00D50D2A">
      <w:pPr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79E7">
        <w:rPr>
          <w:rFonts w:ascii="Times New Roman" w:hAnsi="Times New Roman"/>
          <w:b/>
          <w:color w:val="000000" w:themeColor="text1"/>
          <w:sz w:val="28"/>
          <w:szCs w:val="28"/>
        </w:rPr>
        <w:t>LECZENIE STWARDNIENIA ROZSIANEGO  (ICD-10 G 35)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7"/>
        <w:gridCol w:w="4776"/>
        <w:gridCol w:w="5275"/>
      </w:tblGrid>
      <w:tr w:rsidR="003D23E9" w:rsidRPr="003D23E9" w:rsidTr="00B54D75">
        <w:trPr>
          <w:trHeight w:val="397"/>
        </w:trPr>
        <w:tc>
          <w:tcPr>
            <w:tcW w:w="5000" w:type="pct"/>
            <w:gridSpan w:val="3"/>
            <w:vAlign w:val="center"/>
          </w:tcPr>
          <w:p w:rsidR="00D50D2A" w:rsidRPr="003D23E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ZAKRES ŚWIADCZENIA GWARANTOWANEGO</w:t>
            </w:r>
          </w:p>
        </w:tc>
      </w:tr>
      <w:tr w:rsidR="003D23E9" w:rsidRPr="003D23E9" w:rsidTr="00B54D75">
        <w:tc>
          <w:tcPr>
            <w:tcW w:w="1734" w:type="pct"/>
            <w:vAlign w:val="center"/>
          </w:tcPr>
          <w:p w:rsidR="00D50D2A" w:rsidRPr="003D23E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ŚWIADCZENIOBIORCY</w:t>
            </w:r>
          </w:p>
        </w:tc>
        <w:tc>
          <w:tcPr>
            <w:tcW w:w="1552" w:type="pct"/>
            <w:vAlign w:val="center"/>
          </w:tcPr>
          <w:p w:rsidR="00D50D2A" w:rsidRPr="003D23E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SCHEMAT DAWKOWANIA LEKÓW </w:t>
            </w:r>
            <w:r w:rsidRPr="003D23E9">
              <w:rPr>
                <w:rFonts w:ascii="Times New Roman" w:hAnsi="Times New Roman"/>
                <w:b/>
                <w:color w:val="000000" w:themeColor="text1"/>
              </w:rPr>
              <w:br/>
              <w:t>W PROGRAMIE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vAlign w:val="center"/>
          </w:tcPr>
          <w:p w:rsidR="00D50D2A" w:rsidRPr="003D23E9" w:rsidRDefault="00D50D2A" w:rsidP="00B54D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BADANIA DIAGNOSTYCZNE WYKONYWANE W  RAMACH PROGRAMU</w:t>
            </w:r>
          </w:p>
        </w:tc>
      </w:tr>
      <w:tr w:rsidR="003D23E9" w:rsidRPr="003D23E9" w:rsidTr="00B54D75">
        <w:tc>
          <w:tcPr>
            <w:tcW w:w="1734" w:type="pct"/>
          </w:tcPr>
          <w:p w:rsidR="00366590" w:rsidRPr="003D23E9" w:rsidRDefault="00D50D2A" w:rsidP="00B54D7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1. Kryteria kwalifikacji: </w:t>
            </w: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Leczenie interferonem beta: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po podaniu  kontrastu;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rozpoznania postaci rzutowej stwardnienia rozsianego, wystąpienie minimum 1 rzutu klinicznego albo co najmniej 1 nowe ognisko GD+ w okresie 12 miesięcy przed kwalifikacją;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co najmniej 10  punktów według punktowego systemu kwalifikacji określonego w ust. 3;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5C542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 kwalifikacji muszą być spełnione łącznie.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1.2. Leczenie octanem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rozpoznanie postaci rzutowej stwardnienia rozsianego – oparte na kryteriach diagnostycznych McDonalda (2010), łącznie z badaniami rezonansem magnetycznym, przed  i po podaniu kontrastu;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rozpoznania postaci rzutowej stwardnienia rozsianego, wystąpienie minimum 1 rzutu klinicznego albo co najmniej 1 nowe ognisko GD+ w okresie 12 miesięcy przed kwalifikacją;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uzyskanie co najmniej 10  punktów według punktowego systemu kwalifikacji określonego w ust. 3;</w:t>
            </w:r>
          </w:p>
          <w:p w:rsidR="00D50D2A" w:rsidRPr="00BF2D94" w:rsidRDefault="00D50D2A" w:rsidP="00B54D7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pisemna deklaracja współpracy przy realizacji programu ze </w:t>
            </w:r>
            <w:r w:rsidRPr="0056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strony pielęgniarki</w:t>
            </w:r>
            <w:r w:rsidR="001B0B8A" w:rsidRPr="0056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C0002" w:rsidRPr="005F17CC" w:rsidRDefault="001B0B8A" w:rsidP="001B0B8A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kobiety ciężarne włączane są do leczenia po przekazaniu im pisemnej informacji </w:t>
            </w:r>
            <w:r w:rsidR="001B0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dotyczącej </w:t>
            </w:r>
            <w:r w:rsidRPr="005F17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aktualnego stanu wiedzy na temat bezpieczeństwa i skuteczności stosowania octanu </w:t>
            </w:r>
            <w:proofErr w:type="spellStart"/>
            <w:r w:rsidRPr="005F17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</w:t>
            </w:r>
            <w:r w:rsidRPr="0056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</w:t>
            </w:r>
            <w:proofErr w:type="spellEnd"/>
            <w:r w:rsidRPr="0056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kobiet w ciąży</w:t>
            </w:r>
            <w:r w:rsidRPr="005F17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po uzyskaniu pisemnej, świadomej zgody na stosowanie leku;</w:t>
            </w:r>
          </w:p>
          <w:p w:rsidR="005C542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 kwalifikacji muszą być spełnione łącznie.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1F44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dimetylu</w:t>
            </w:r>
            <w:r w:rsidR="005C5429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D1F44" w:rsidRPr="005F17CC" w:rsidRDefault="00D50D2A" w:rsidP="005F17CC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wiek od </w:t>
            </w:r>
            <w:r w:rsidR="00285CC3">
              <w:rPr>
                <w:rFonts w:ascii="Times New Roman" w:hAnsi="Times New Roman"/>
                <w:color w:val="000000" w:themeColor="text1"/>
              </w:rPr>
              <w:t>12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roku życia</w:t>
            </w:r>
            <w:r w:rsidR="00BD1F44">
              <w:rPr>
                <w:rFonts w:ascii="Times New Roman" w:hAnsi="Times New Roman"/>
                <w:color w:val="000000" w:themeColor="text1"/>
              </w:rPr>
              <w:t xml:space="preserve"> z zastrzeżeniem, że 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374314">
              <w:rPr>
                <w:rFonts w:ascii="Times New Roman" w:hAnsi="Times New Roman"/>
                <w:color w:val="000000" w:themeColor="text1"/>
              </w:rPr>
              <w:t>pacjentów w wieku poniżej 18 roku życia kwalifikuje się do leczenia wyłącznie w ośrodkach zapewniających leczenie pod opieką zespołów lekarskich składających się z neurologów i neurologów dziecięcych posiadających</w:t>
            </w:r>
            <w:r w:rsidR="0026413D">
              <w:rPr>
                <w:rFonts w:ascii="Times New Roman" w:hAnsi="Times New Roman"/>
                <w:color w:val="000000" w:themeColor="text1"/>
              </w:rPr>
              <w:t xml:space="preserve"> doświadczenie w leczeniu SM;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30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374314">
              <w:rPr>
                <w:rFonts w:ascii="Times New Roman" w:hAnsi="Times New Roman"/>
                <w:color w:val="000000" w:themeColor="text1"/>
              </w:rPr>
              <w:t>pacjentów w wieku poniżej 18 roku życia kwalifikuje się do leczenia pod warunkiem przekazania opiekunom chorych/chorym kwalifikowanym do terapii pisemnej informacji na temat aktualnego stanu wiedzy na temat bezpieczeństwa i skuteczności stosowania</w:t>
            </w:r>
            <w:r w:rsidR="000024E8">
              <w:rPr>
                <w:rFonts w:ascii="Times New Roman" w:hAnsi="Times New Roman"/>
                <w:color w:val="000000" w:themeColor="text1"/>
              </w:rPr>
              <w:t xml:space="preserve"> leku</w:t>
            </w:r>
            <w:r w:rsidRPr="00374314">
              <w:rPr>
                <w:rFonts w:ascii="Times New Roman" w:hAnsi="Times New Roman"/>
                <w:color w:val="000000" w:themeColor="text1"/>
              </w:rPr>
              <w:t xml:space="preserve"> w tej grupie wiekowej oraz po uzyskaniu </w:t>
            </w:r>
            <w:r w:rsidR="000024E8">
              <w:rPr>
                <w:rFonts w:ascii="Times New Roman" w:hAnsi="Times New Roman"/>
                <w:color w:val="000000" w:themeColor="text1"/>
              </w:rPr>
              <w:t>pisemnej, świadomej zgody na jego</w:t>
            </w:r>
            <w:r w:rsidRPr="00374314">
              <w:rPr>
                <w:rFonts w:ascii="Times New Roman" w:hAnsi="Times New Roman"/>
                <w:color w:val="000000" w:themeColor="text1"/>
              </w:rPr>
              <w:t xml:space="preserve"> zastosowanie;</w:t>
            </w:r>
          </w:p>
          <w:p w:rsidR="00D50D2A" w:rsidRPr="005F17CC" w:rsidRDefault="00D50D2A" w:rsidP="005F17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5F17C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rozpoznanie postaci rzutowej stwardnienia rozsianego – oparte na kryteriach diagnostycznych McDonalda(2010), łącznie z badaniami rezonansem magnetycznym, przed  i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 podaniu kontrastu;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co najmniej 10  punktów według punktowego systemu kwalifikacji określonego w ust. 3;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 deklaracja współpracy przy realizacji programu ze strony pielęgniarki.</w:t>
            </w:r>
          </w:p>
          <w:p w:rsidR="005C542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 kwalifikacji muszą być spełnione łącznie</w:t>
            </w:r>
            <w:r w:rsidR="005C5429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1.4.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beta-1a:</w:t>
            </w:r>
          </w:p>
          <w:p w:rsidR="00BD1F44" w:rsidRPr="005F17CC" w:rsidRDefault="00D50D2A" w:rsidP="005F17CC">
            <w:pPr>
              <w:pStyle w:val="Akapitzlist"/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wiek od </w:t>
            </w:r>
            <w:r w:rsidR="00285CC3">
              <w:rPr>
                <w:rFonts w:ascii="Times New Roman" w:hAnsi="Times New Roman"/>
                <w:color w:val="000000" w:themeColor="text1"/>
              </w:rPr>
              <w:t xml:space="preserve">12 </w:t>
            </w:r>
            <w:r w:rsidRPr="003D23E9">
              <w:rPr>
                <w:rFonts w:ascii="Times New Roman" w:hAnsi="Times New Roman"/>
                <w:color w:val="000000" w:themeColor="text1"/>
              </w:rPr>
              <w:t>roku życia</w:t>
            </w:r>
            <w:r w:rsidR="00BD1F44">
              <w:rPr>
                <w:rFonts w:ascii="Times New Roman" w:hAnsi="Times New Roman"/>
                <w:color w:val="000000" w:themeColor="text1"/>
              </w:rPr>
              <w:t xml:space="preserve"> z zastrzeżeniem, że 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52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374314">
              <w:rPr>
                <w:rFonts w:ascii="Times New Roman" w:hAnsi="Times New Roman"/>
                <w:color w:val="000000" w:themeColor="text1"/>
              </w:rPr>
              <w:t>pacjentów w wieku poniżej 18 roku życia kwalifikuje się do leczenia wyłącznie w ośrodkach zap</w:t>
            </w:r>
            <w:r w:rsidR="0092439B">
              <w:rPr>
                <w:rFonts w:ascii="Times New Roman" w:hAnsi="Times New Roman"/>
                <w:color w:val="000000" w:themeColor="text1"/>
              </w:rPr>
              <w:t xml:space="preserve">ewniających leczenie pod opieką </w:t>
            </w:r>
            <w:r w:rsidRPr="00374314">
              <w:rPr>
                <w:rFonts w:ascii="Times New Roman" w:hAnsi="Times New Roman"/>
                <w:color w:val="000000" w:themeColor="text1"/>
              </w:rPr>
              <w:t>zespołów</w:t>
            </w:r>
            <w:r w:rsidR="0092439B">
              <w:rPr>
                <w:rFonts w:ascii="Times New Roman" w:hAnsi="Times New Roman"/>
                <w:color w:val="000000" w:themeColor="text1"/>
              </w:rPr>
              <w:t xml:space="preserve"> lekarskich składających się z </w:t>
            </w:r>
            <w:r w:rsidRPr="00374314">
              <w:rPr>
                <w:rFonts w:ascii="Times New Roman" w:hAnsi="Times New Roman"/>
                <w:color w:val="000000" w:themeColor="text1"/>
              </w:rPr>
              <w:t>neurologów i neurologów dziecięcych posiadających</w:t>
            </w:r>
            <w:r w:rsidR="0026413D">
              <w:rPr>
                <w:rFonts w:ascii="Times New Roman" w:hAnsi="Times New Roman"/>
                <w:color w:val="000000" w:themeColor="text1"/>
              </w:rPr>
              <w:t xml:space="preserve"> doświadczenie w leczeniu SM;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52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374314">
              <w:rPr>
                <w:rFonts w:ascii="Times New Roman" w:hAnsi="Times New Roman"/>
                <w:color w:val="000000" w:themeColor="text1"/>
              </w:rPr>
              <w:t>pacjentów w wieku poniżej 18 roku życia kwalifikuje się do leczenia pod warunkiem przekazania opiekunom chorych/chorym kwalifikowanym do terapii pisemnej informacji na temat aktualnego stanu wiedzy na temat bezpiecze</w:t>
            </w:r>
            <w:r w:rsidR="000024E8">
              <w:rPr>
                <w:rFonts w:ascii="Times New Roman" w:hAnsi="Times New Roman"/>
                <w:color w:val="000000" w:themeColor="text1"/>
              </w:rPr>
              <w:t>ństwa i skuteczności stosowania leku</w:t>
            </w:r>
            <w:r w:rsidRPr="00374314">
              <w:rPr>
                <w:rFonts w:ascii="Times New Roman" w:hAnsi="Times New Roman"/>
                <w:color w:val="000000" w:themeColor="text1"/>
              </w:rPr>
              <w:t xml:space="preserve"> w tej grupie wiekowej oraz po uzyskaniu </w:t>
            </w:r>
            <w:r w:rsidR="000024E8">
              <w:rPr>
                <w:rFonts w:ascii="Times New Roman" w:hAnsi="Times New Roman"/>
                <w:color w:val="000000" w:themeColor="text1"/>
              </w:rPr>
              <w:t>pisemnej, świadomej zgody na jego</w:t>
            </w:r>
            <w:r w:rsidRPr="00374314">
              <w:rPr>
                <w:rFonts w:ascii="Times New Roman" w:hAnsi="Times New Roman"/>
                <w:color w:val="000000" w:themeColor="text1"/>
              </w:rPr>
              <w:t xml:space="preserve"> zastosowanie;</w:t>
            </w:r>
          </w:p>
          <w:p w:rsidR="00D50D2A" w:rsidRPr="005F17CC" w:rsidRDefault="00D50D2A" w:rsidP="005F17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5F17C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rozpoznanie postaci rzutowej stwardnienia rozsianego – oparte na kryteriach diagnostycznych McDonalda (2010), łącznie z badaniami rezonansem magnetycznym, przed  i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po podaniu  kontrastu; 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co najmniej 10  punktów według punktowego systemu kwalifikacji określonego w ust. 3; </w:t>
            </w:r>
          </w:p>
          <w:p w:rsidR="00D50D2A" w:rsidRPr="003D23E9" w:rsidRDefault="00D50D2A" w:rsidP="005F17CC">
            <w:pPr>
              <w:pStyle w:val="Default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pisemna deklaracja współpracy przy realizacji programu ze strony pielęgniarki. </w:t>
            </w:r>
          </w:p>
          <w:p w:rsidR="00365BCD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 kwalifikacji muszą być spełnione łącznie</w:t>
            </w:r>
          </w:p>
          <w:p w:rsidR="005C5429" w:rsidRPr="003D23E9" w:rsidRDefault="005C5429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5BCD" w:rsidRPr="003D23E9" w:rsidRDefault="00365BCD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D1F44" w:rsidRPr="005F17CC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wiek od </w:t>
            </w:r>
            <w:r w:rsidR="00285CC3">
              <w:rPr>
                <w:rFonts w:ascii="Times New Roman" w:hAnsi="Times New Roman"/>
                <w:color w:val="000000" w:themeColor="text1"/>
              </w:rPr>
              <w:t>12</w:t>
            </w:r>
            <w:r w:rsidR="00285CC3" w:rsidRPr="003D23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>roku życia</w:t>
            </w:r>
            <w:r w:rsidR="00BD1F44">
              <w:rPr>
                <w:rFonts w:ascii="Times New Roman" w:hAnsi="Times New Roman"/>
                <w:color w:val="000000" w:themeColor="text1"/>
              </w:rPr>
              <w:t xml:space="preserve">, z zastrzeżeniem, że 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53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5F17CC">
              <w:rPr>
                <w:rFonts w:ascii="Times New Roman" w:hAnsi="Times New Roman"/>
                <w:color w:val="000000" w:themeColor="text1"/>
              </w:rPr>
              <w:t xml:space="preserve">pacjentów w wieku poniżej 18 roku życia kwalifikuje </w:t>
            </w:r>
            <w:r w:rsidRPr="000024E8">
              <w:rPr>
                <w:rFonts w:ascii="Times New Roman" w:hAnsi="Times New Roman"/>
                <w:color w:val="000000" w:themeColor="text1"/>
              </w:rPr>
              <w:t xml:space="preserve">się do leczenia </w:t>
            </w:r>
            <w:r w:rsidRPr="005F17CC">
              <w:rPr>
                <w:rFonts w:ascii="Times New Roman" w:hAnsi="Times New Roman"/>
                <w:color w:val="000000" w:themeColor="text1"/>
              </w:rPr>
              <w:t xml:space="preserve">wyłącznie w ośrodkach zapewniających leczenie pod opieką </w:t>
            </w:r>
            <w:r w:rsidRPr="000024E8">
              <w:rPr>
                <w:rFonts w:ascii="Times New Roman" w:hAnsi="Times New Roman"/>
                <w:color w:val="000000" w:themeColor="text1"/>
              </w:rPr>
              <w:t>zespołów</w:t>
            </w:r>
            <w:r w:rsidRPr="005F17CC">
              <w:rPr>
                <w:rFonts w:ascii="Times New Roman" w:hAnsi="Times New Roman"/>
                <w:color w:val="000000" w:themeColor="text1"/>
              </w:rPr>
              <w:t xml:space="preserve"> lekarskich składających się z neurologów i neurologów dziecięcych </w:t>
            </w:r>
            <w:r w:rsidRPr="000024E8">
              <w:rPr>
                <w:rFonts w:ascii="Times New Roman" w:hAnsi="Times New Roman"/>
                <w:color w:val="000000" w:themeColor="text1"/>
              </w:rPr>
              <w:t>posiadających</w:t>
            </w:r>
            <w:r w:rsidR="0026413D">
              <w:rPr>
                <w:rFonts w:ascii="Times New Roman" w:hAnsi="Times New Roman"/>
                <w:color w:val="000000" w:themeColor="text1"/>
              </w:rPr>
              <w:t xml:space="preserve"> doświadczenie w leczeniu SM;</w:t>
            </w:r>
          </w:p>
          <w:p w:rsidR="00BD1F44" w:rsidRPr="005F17CC" w:rsidRDefault="00BD1F44" w:rsidP="005F17C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BD1F44" w:rsidRDefault="00BD1F44" w:rsidP="005F17CC">
            <w:pPr>
              <w:pStyle w:val="Akapitzlist"/>
              <w:widowControl/>
              <w:numPr>
                <w:ilvl w:val="1"/>
                <w:numId w:val="53"/>
              </w:numPr>
              <w:autoSpaceDE/>
              <w:autoSpaceDN/>
              <w:adjustRightInd/>
              <w:spacing w:line="276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5F17CC">
              <w:rPr>
                <w:rFonts w:ascii="Times New Roman" w:hAnsi="Times New Roman"/>
                <w:color w:val="000000" w:themeColor="text1"/>
              </w:rPr>
              <w:t xml:space="preserve">pacjentów w wieku poniżej 18 roku życia kwalifikuje </w:t>
            </w:r>
            <w:r w:rsidRPr="000024E8">
              <w:rPr>
                <w:rFonts w:ascii="Times New Roman" w:hAnsi="Times New Roman"/>
                <w:color w:val="000000" w:themeColor="text1"/>
              </w:rPr>
              <w:t>się</w:t>
            </w:r>
            <w:r w:rsidRPr="005F17CC">
              <w:rPr>
                <w:rFonts w:ascii="Times New Roman" w:hAnsi="Times New Roman"/>
                <w:color w:val="000000" w:themeColor="text1"/>
              </w:rPr>
              <w:t xml:space="preserve"> do leczenia pod warunkiem przekazania opiekunom chorych/chorym kwalifikowanym do terapii pisemnej informacji na temat aktualnego stanu wiedzy na temat bezpieczeństwa i s</w:t>
            </w:r>
            <w:r w:rsidR="000024E8" w:rsidRPr="000024E8">
              <w:rPr>
                <w:rFonts w:ascii="Times New Roman" w:hAnsi="Times New Roman"/>
                <w:color w:val="000000" w:themeColor="text1"/>
              </w:rPr>
              <w:t>kuteczności stosowani</w:t>
            </w:r>
            <w:r w:rsidR="000024E8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="000024E8" w:rsidRPr="000024E8">
              <w:rPr>
                <w:rFonts w:ascii="Times New Roman" w:hAnsi="Times New Roman"/>
                <w:color w:val="000000" w:themeColor="text1"/>
              </w:rPr>
              <w:t>leku</w:t>
            </w:r>
            <w:r w:rsidRPr="005F17CC">
              <w:rPr>
                <w:rFonts w:ascii="Times New Roman" w:hAnsi="Times New Roman"/>
                <w:color w:val="000000" w:themeColor="text1"/>
              </w:rPr>
              <w:t xml:space="preserve"> w tej grupie wiekowej oraz po uzyskaniu </w:t>
            </w:r>
            <w:r w:rsidR="000024E8" w:rsidRPr="004A4185">
              <w:rPr>
                <w:rFonts w:ascii="Times New Roman" w:hAnsi="Times New Roman"/>
                <w:color w:val="000000" w:themeColor="text1"/>
              </w:rPr>
              <w:t>pisemnej, świadomej zgody na jego</w:t>
            </w:r>
            <w:r w:rsidRPr="005F17CC">
              <w:rPr>
                <w:rFonts w:ascii="Times New Roman" w:hAnsi="Times New Roman"/>
                <w:color w:val="000000" w:themeColor="text1"/>
              </w:rPr>
              <w:t xml:space="preserve"> zastosowanie</w:t>
            </w:r>
            <w:r w:rsidRPr="000024E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D1F44" w:rsidRPr="005F17CC" w:rsidRDefault="00BD1F44" w:rsidP="005F17CC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108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5BCD" w:rsidRPr="003D23E9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rozpoznanie postaci rzutowej stwardnienia rozsianego oparte na kryteriach diagnostycznych McDonalda (2010); łącznie z badaniami rezonansem magnetycznym, przed i po podaniu kontrastu;</w:t>
            </w:r>
          </w:p>
          <w:p w:rsidR="00365BCD" w:rsidRPr="003D23E9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w przypadku rozpoznania postaci rzutowej stwardnienia rozsianego, wystąpienie minimum 1 rzutu klinicznego albo co najmniej 1 nowe ognisko GD+ w okresie 12 miesięcy przed kwalifikacją;</w:t>
            </w:r>
          </w:p>
          <w:p w:rsidR="00365BCD" w:rsidRPr="003D23E9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uzyskanie co najmniej 10 punktów według punktowego systemu kwalifikacji określonego w ust. 3;</w:t>
            </w:r>
          </w:p>
          <w:p w:rsidR="00365BCD" w:rsidRPr="003D23E9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w przypadku kobiet w wieku rozrodczym stosowanie antykoncepcji; </w:t>
            </w:r>
          </w:p>
          <w:p w:rsidR="00365BCD" w:rsidRPr="003D23E9" w:rsidRDefault="00365BCD" w:rsidP="005F17C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pisemna deklaracja współpracy przy realizacji programu ze strony pielęgniarki.</w:t>
            </w:r>
          </w:p>
          <w:p w:rsidR="00095F2D" w:rsidRPr="003D23E9" w:rsidRDefault="00365BCD" w:rsidP="00365BC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Kryteria kwalifikacji muszą być spełnione łącznie.</w:t>
            </w:r>
          </w:p>
          <w:p w:rsidR="005C5429" w:rsidRPr="003D23E9" w:rsidRDefault="005C5429" w:rsidP="00365BC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095F2D" w:rsidRPr="003D23E9" w:rsidRDefault="005C5429" w:rsidP="00095F2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095F2D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Leczenie </w:t>
            </w:r>
            <w:proofErr w:type="spellStart"/>
            <w:r w:rsidR="00095F2D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="00095F2D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86600" w:rsidRPr="003D23E9" w:rsidRDefault="00A86600" w:rsidP="00A86600">
            <w:pPr>
              <w:pStyle w:val="Akapitzlist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wiek od 18 roku życia;</w:t>
            </w:r>
          </w:p>
          <w:p w:rsidR="00A86600" w:rsidRPr="003D23E9" w:rsidRDefault="00A86600" w:rsidP="00A86600">
            <w:pPr>
              <w:pStyle w:val="Akapitzlist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brak wcześniejszego leczenia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alemtuzumabem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C5429" w:rsidRPr="003D23E9" w:rsidRDefault="00A86600" w:rsidP="008719E1">
            <w:pPr>
              <w:pStyle w:val="Akapitzlist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rozpoznanie postaci rzutowej stwardnienia rozsianego oparte na kryteriach diagnostycznych McDonalda (2010) łącznie z badaniami rezonansem magnetycznym, przed i po podaniu kontrastu;</w:t>
            </w:r>
          </w:p>
          <w:p w:rsidR="00A86600" w:rsidRPr="003D23E9" w:rsidRDefault="00A86600" w:rsidP="008719E1">
            <w:pPr>
              <w:pStyle w:val="Akapitzlist"/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Szybko rozwijająca się, ciężka postać choroby rozpoznawana kiedy</w:t>
            </w:r>
            <w:r w:rsidR="005736D8" w:rsidRPr="003D23E9">
              <w:rPr>
                <w:rFonts w:ascii="Times New Roman" w:hAnsi="Times New Roman"/>
                <w:color w:val="000000" w:themeColor="text1"/>
              </w:rPr>
              <w:t xml:space="preserve"> w okresie 12 miesięcy przed kwalifikacją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zostaną s</w:t>
            </w:r>
            <w:r w:rsidR="00BE1460" w:rsidRPr="003D23E9">
              <w:rPr>
                <w:rFonts w:ascii="Times New Roman" w:hAnsi="Times New Roman"/>
                <w:color w:val="000000" w:themeColor="text1"/>
              </w:rPr>
              <w:t>pełnione oba poniższe parametry</w:t>
            </w:r>
            <w:r w:rsidRPr="003D23E9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5C5429" w:rsidRPr="003D23E9" w:rsidRDefault="005C5429" w:rsidP="008719E1">
            <w:pPr>
              <w:pStyle w:val="Akapitzlist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86600" w:rsidRDefault="00A86600" w:rsidP="008719E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liczba i ciężkość rzutów: - co najmniej dwa rzuty wymagające leczenia sterydami powodujące niesprawność (w czasie rzutu wzrost EDSS o minimum 2 pkt)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C77711" w:rsidRPr="003D23E9" w:rsidRDefault="00C77711" w:rsidP="005F17CC">
            <w:pPr>
              <w:pStyle w:val="Akapitzlist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C5429" w:rsidRPr="003D23E9" w:rsidRDefault="00A86600" w:rsidP="008719E1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zmiany w badaniu rezonansu magnetycznego - więcej niż jedna nowa zmiana GD(+) lub - więcej niż dwie nowe zmiany w sekwencji T2 (w sumie nie mniej niż 9 zmian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5C5429" w:rsidRPr="003D23E9" w:rsidRDefault="005C5429" w:rsidP="008719E1">
            <w:pPr>
              <w:pStyle w:val="Akapitzlist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A86600" w:rsidRPr="003D23E9" w:rsidRDefault="00A86600" w:rsidP="00A8660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5) W przypadku kobiet w wieku rozrodczym stosowanie antykoncepcji;</w:t>
            </w:r>
          </w:p>
          <w:p w:rsidR="00A86600" w:rsidRPr="003D23E9" w:rsidRDefault="00A86600" w:rsidP="00A8660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7) Pisemna deklaracja współpracy przy realizacji programu ze strony pielęgniarki.</w:t>
            </w:r>
          </w:p>
          <w:p w:rsidR="005C5429" w:rsidRPr="003D23E9" w:rsidRDefault="00A86600" w:rsidP="008719E1">
            <w:pPr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Kryteria kwalifikacji muszą być spełnione łącznie.</w:t>
            </w:r>
          </w:p>
          <w:p w:rsidR="005C5429" w:rsidRPr="003D23E9" w:rsidRDefault="005C5429" w:rsidP="008719E1">
            <w:pPr>
              <w:rPr>
                <w:rFonts w:ascii="Times New Roman" w:hAnsi="Times New Roman"/>
                <w:color w:val="000000" w:themeColor="text1"/>
              </w:rPr>
            </w:pPr>
          </w:p>
          <w:p w:rsidR="005C5429" w:rsidRPr="003D23E9" w:rsidRDefault="00D50D2A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86600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Dopuszcza się zamiany leków pierwszej linii</w:t>
            </w:r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(interferon beta, </w:t>
            </w:r>
            <w:proofErr w:type="spellStart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</w:t>
            </w:r>
            <w:proofErr w:type="spellEnd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beta-1a,</w:t>
            </w:r>
            <w:r w:rsidR="00BE1460" w:rsidRPr="003D23E9" w:rsidDel="00756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octan </w:t>
            </w:r>
            <w:proofErr w:type="spellStart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F6EBB" w:rsidRPr="003D23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</w:t>
            </w:r>
            <w:r w:rsidR="008F6EBB" w:rsidRPr="003D23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</w:t>
            </w:r>
            <w:proofErr w:type="spellEnd"/>
            <w:r w:rsidR="00BE146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D23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  przypadku wystąpienia objawów niepożądanych lub częściowej nieskuteczności terapii definiowanej jako wystąpienie jednego z kryteriów wymienionych w punkcie 5.1.</w:t>
            </w:r>
          </w:p>
          <w:p w:rsidR="00D50D2A" w:rsidRPr="003D23E9" w:rsidRDefault="00D50D2A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12AF0" w:rsidRPr="003D23E9" w:rsidRDefault="00D50D2A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86600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programu włączane są, bez konieczności ponownej kwalifikacji, pacjentki wyłączone z programu w związku z ciążą, które w momencie wyłączenia spełniały pozostałe kryteria przedłużenia leczenia.</w:t>
            </w:r>
          </w:p>
          <w:p w:rsidR="00ED7640" w:rsidRPr="003D23E9" w:rsidRDefault="00ED7640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54D" w:rsidRPr="003D23E9" w:rsidRDefault="00ED7640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1.8.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254D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Ponadto do programu lekowego, w celu zapewnienia kontynuacji terapi</w:t>
            </w:r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są kwalifikowani również pacjenci uprzednio leczeni interferonem beta, </w:t>
            </w:r>
            <w:proofErr w:type="spellStart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beta-1a,</w:t>
            </w:r>
            <w:r w:rsidR="00870FC6" w:rsidRPr="003D23E9" w:rsidDel="00756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 lub </w:t>
            </w:r>
            <w:proofErr w:type="spellStart"/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DD254D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ramach innego sposobu finansowania terapii</w:t>
            </w:r>
            <w:r w:rsidR="00870FC6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 ile na dzień rozpoczęcia terapii spełnili stosowne kryteria kwalifikacji wskazane w punktach 1.1 – 1.5</w:t>
            </w:r>
            <w:r w:rsidR="00634EF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jednocześnie nie spełniali kryteriów uniemożliwiających włączenie </w:t>
            </w:r>
            <w:r w:rsidR="00D93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634EF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program</w:t>
            </w:r>
            <w:r w:rsidR="00D93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634EF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wskazanych w punktach 2.1-2.5.</w:t>
            </w:r>
          </w:p>
          <w:p w:rsidR="00D50D2A" w:rsidRPr="003D23E9" w:rsidRDefault="00D50D2A" w:rsidP="008719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66590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 Kryteria uniemożliwiające włączenie do programu: 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Przeciwwskazaniem do stosowania interferonów beta jest wystąpienie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przynajmniej jednego z poniższych przeciwwskazań: </w:t>
            </w:r>
          </w:p>
          <w:p w:rsidR="005C5429" w:rsidRPr="003D23E9" w:rsidRDefault="005C5429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nadwrażliwość na interferon beta;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pierwotnie lub wtórnie postępująca postać choroby; 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zdekompensowana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niewydolność wątroby (enzymy wątrobowe 2 razy lub więcej powyżej normy);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zaburzenia czynności tarczycy (bez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eutyreozy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depresja nie poddająca się leczeniu;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próby samobójcze;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padaczka z wyłączeniem napadów, które u dzieci i  młodzieży wystąpiły w czasie rzutu stwardnienia rozsianego;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leukopenia poniżej 3000/µl;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istotna klinicznie niedokrwistość;</w:t>
            </w:r>
          </w:p>
          <w:p w:rsidR="00D50D2A" w:rsidRPr="003D23E9" w:rsidRDefault="00D50D2A" w:rsidP="00B54D75">
            <w:pPr>
              <w:pStyle w:val="Default"/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ciąża;</w:t>
            </w:r>
          </w:p>
          <w:p w:rsidR="00D50D2A" w:rsidRPr="003D23E9" w:rsidRDefault="00D50D2A" w:rsidP="00B54D75">
            <w:pPr>
              <w:numPr>
                <w:ilvl w:val="1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inne przeciwwskazania wymienione w Charakterystyce Produktu Leczniczego.</w:t>
            </w:r>
          </w:p>
          <w:p w:rsidR="00D50D2A" w:rsidRPr="003D23E9" w:rsidRDefault="00D50D2A" w:rsidP="00B54D75">
            <w:pPr>
              <w:spacing w:line="276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2.2.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Przeciwwskazaniem do stosowania octanu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glatirameru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jest wystąpienie przynajmniej jednego z poniższych przeciwskazań:</w:t>
            </w:r>
          </w:p>
          <w:p w:rsidR="005C5429" w:rsidRPr="003D23E9" w:rsidRDefault="005C5429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nadwrażliwość na octan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glatirameru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lub mannitol;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pierwotnie lub wtórnie postępująca postać choroby;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inne przeciwwskazania wymienione w Charakterystyce Produktu Leczniczego.</w:t>
            </w:r>
          </w:p>
          <w:p w:rsidR="00D50D2A" w:rsidRPr="003D23E9" w:rsidRDefault="00D50D2A" w:rsidP="00B54D75">
            <w:pPr>
              <w:spacing w:line="276" w:lineRule="auto"/>
              <w:ind w:left="709" w:hanging="425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2.3.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Przeciwwskazaniem do stosowania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fumaranu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 jest wystąpienie przynajmniej jednego z poniższych przeciwskazań:</w:t>
            </w:r>
          </w:p>
          <w:p w:rsidR="005C5429" w:rsidRPr="003D23E9" w:rsidRDefault="005C5429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nadwrażliwość na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fumaran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dimetylu lub substancje pomocnicze;</w:t>
            </w:r>
          </w:p>
          <w:p w:rsidR="00D50D2A" w:rsidRPr="003D23E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pierwotnie lub wtórnie postępująca postać choroby;</w:t>
            </w:r>
          </w:p>
          <w:p w:rsidR="00D50D2A" w:rsidRPr="003D23E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ciąża;</w:t>
            </w:r>
          </w:p>
          <w:p w:rsidR="00D50D2A" w:rsidRPr="003D23E9" w:rsidRDefault="00D50D2A" w:rsidP="00D50D2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inne przeciwwskazania wymienione w Charakterystyce Produktu Leczniczego.</w:t>
            </w:r>
          </w:p>
          <w:p w:rsidR="00D50D2A" w:rsidRPr="003D23E9" w:rsidRDefault="00D50D2A" w:rsidP="008719E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2.4</w:t>
            </w:r>
            <w:r w:rsidR="008F6EBB" w:rsidRPr="003D23E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 Przeciwwskazaniem do stosowania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peginterferonu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beta -1a jest wystąpienie przynajmniej jednego z poniższych przeciwskazań:</w:t>
            </w:r>
          </w:p>
          <w:p w:rsidR="005C5429" w:rsidRPr="003D23E9" w:rsidRDefault="005C5429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nadwrażliwość na naturalny lub rekombinowany interferon beta, lub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peginterferon</w:t>
            </w:r>
            <w:proofErr w:type="spellEnd"/>
            <w:r w:rsidR="005C5429"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rozpoczęcie leczenia u kobiet w ciąży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aktualnie ciężkie zaburzenia depresyjne i (lub) myśli samobójcze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przeciwwskazania wymienione w Charakterystyce Produktu Leczniczego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pierwotnie lub wtórnie postępująca postać choroby</w:t>
            </w:r>
            <w:r w:rsidR="005C5429" w:rsidRPr="003D23E9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65BCD" w:rsidRPr="003D23E9" w:rsidRDefault="00365BCD" w:rsidP="008719E1">
            <w:pPr>
              <w:spacing w:line="276" w:lineRule="auto"/>
              <w:ind w:left="644"/>
              <w:rPr>
                <w:rFonts w:ascii="Times New Roman" w:hAnsi="Times New Roman"/>
                <w:color w:val="000000" w:themeColor="text1"/>
              </w:rPr>
            </w:pPr>
          </w:p>
          <w:p w:rsidR="00365BCD" w:rsidRPr="003D23E9" w:rsidRDefault="00365BCD" w:rsidP="008719E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2.5</w:t>
            </w:r>
            <w:r w:rsidR="008F6EBB" w:rsidRPr="003D23E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3D23E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Przeciwwskazaniem do stosowania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teryflunomidu</w:t>
            </w:r>
            <w:proofErr w:type="spellEnd"/>
          </w:p>
          <w:p w:rsidR="00365BCD" w:rsidRPr="003D23E9" w:rsidRDefault="00365BCD" w:rsidP="00365BCD">
            <w:pPr>
              <w:spacing w:line="276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jest wystąpienie przynajmniej jednego z poniższych</w:t>
            </w:r>
          </w:p>
          <w:p w:rsidR="00365BCD" w:rsidRPr="003D23E9" w:rsidRDefault="00365BCD" w:rsidP="00365BCD">
            <w:pPr>
              <w:spacing w:line="276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przeciwwskazań: </w:t>
            </w:r>
          </w:p>
          <w:p w:rsidR="005C5429" w:rsidRPr="003D23E9" w:rsidRDefault="005C5429" w:rsidP="00365BCD">
            <w:p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nadwrażliwość na substancję czynną lub na którąkolwiek substancję pomocniczą;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ciężkie zaburzenia czynności wątroby (klasa C według skali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Childa-Pugha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ciąża, karmienie piersią lub niestosowanie skutecznych metod antykoncepcji u kobiet w wieku rozrodczym;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 niedobory odporności;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znaczne zaburzenia czynności szpiku kostnego albo znacząca niedokrwistość, leukopenia,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neutropenia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lub małopłytkowość:</w:t>
            </w:r>
          </w:p>
          <w:p w:rsidR="005C5429" w:rsidRPr="003D23E9" w:rsidRDefault="005C5429" w:rsidP="008719E1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65BCD" w:rsidRPr="003D23E9" w:rsidRDefault="00365BCD" w:rsidP="00365BC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hematokryt &lt; 24 % lub</w:t>
            </w:r>
          </w:p>
          <w:p w:rsidR="00365BCD" w:rsidRPr="003D23E9" w:rsidRDefault="00365BCD" w:rsidP="00365BC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całkowita liczba białych krwinek &lt; 4 000 /µl</w:t>
            </w:r>
            <w:r w:rsidRPr="003D23E9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lub</w:t>
            </w:r>
          </w:p>
          <w:p w:rsidR="00365BCD" w:rsidRPr="003D23E9" w:rsidRDefault="00365BCD" w:rsidP="00365BC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całkowita liczba neutrofilii  ≤ 1 500 /µl lub</w:t>
            </w:r>
          </w:p>
          <w:p w:rsidR="00365BCD" w:rsidRPr="003D23E9" w:rsidRDefault="00365BCD" w:rsidP="00365BC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liczba płytek krwi &lt; 150 000 /µl;</w:t>
            </w:r>
          </w:p>
          <w:p w:rsidR="005C5429" w:rsidRPr="003D23E9" w:rsidRDefault="005C5429" w:rsidP="008719E1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ciężkie, czynne zakażenia;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 zaburzenia czynności nerek u pacjentów dializowanych;</w:t>
            </w:r>
          </w:p>
          <w:p w:rsidR="00365BCD" w:rsidRPr="003D23E9" w:rsidRDefault="00365BCD" w:rsidP="00365BCD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ciężka hipoproteinemia.</w:t>
            </w:r>
          </w:p>
          <w:p w:rsidR="00300497" w:rsidRPr="003D23E9" w:rsidRDefault="00300497" w:rsidP="008719E1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0497" w:rsidRPr="003D23E9" w:rsidRDefault="00300497" w:rsidP="003004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2.6</w:t>
            </w:r>
            <w:r w:rsidR="008F6EBB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Przeciwwskazaniem do stosowania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alemtuzumabu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jest wystąpienie przynajmniej jednego z poniższych przeciwskazań:</w:t>
            </w:r>
          </w:p>
          <w:p w:rsidR="005C5429" w:rsidRPr="003D23E9" w:rsidRDefault="005C5429" w:rsidP="0030049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1) nadwrażliwość na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alemtuzumab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lub substancje pomocnicze;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2) zakażenie ludzkim wirusem niedoboru odporności (HIV);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3) ciąża;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4) wiremia HBV, HCV;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5) czynna gruźlica;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5) czynne zakażenia do momentu ich wyleczenia;</w:t>
            </w:r>
          </w:p>
          <w:p w:rsidR="005736D8" w:rsidRPr="003D23E9" w:rsidRDefault="005736D8" w:rsidP="005736D8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6) nowotwór złośliwy.</w:t>
            </w:r>
          </w:p>
          <w:p w:rsidR="00300497" w:rsidRPr="003D23E9" w:rsidRDefault="00300497" w:rsidP="0030049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5C542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 Punktowy system </w:t>
            </w:r>
            <w:r w:rsidR="00E32C7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oceny i 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kwalifikacji do leczenia stwardnienia rozsianego interferonem beta,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beta-1a,</w:t>
            </w:r>
            <w:r w:rsidRPr="003D23E9" w:rsidDel="007566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300497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dimetylu</w:t>
            </w:r>
            <w:r w:rsidR="00C67941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67941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C67941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C67941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="00C67941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300497" w:rsidRPr="003D23E9" w:rsidRDefault="00300497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czas trwania choroby: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0 do 3 lat - 6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3 do 6 lat - 4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6 lat - 2 pkt.;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liczba rzutów choroby w ostatnim roku: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i więcej - 5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1 do 2 - 4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rzutów w trakcie leczenia immunomodulacyjnego (w ostatnim roku) - 3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rzutów</w:t>
            </w:r>
            <w:r w:rsidRPr="003D23E9" w:rsidDel="00FE2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 pkt;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stan neurologiczny w okresie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międzyrzutowym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(przy  rozpoczynaniu leczenia):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 od 0 do 2 - 6 pkt.,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 od 2,5 do 4 - 5 pkt.,</w:t>
            </w:r>
          </w:p>
          <w:p w:rsidR="00365BCD" w:rsidRPr="003D23E9" w:rsidRDefault="00D50D2A" w:rsidP="00365BCD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EDSS od 4,5 do 5 - 2 pkt.</w:t>
            </w:r>
          </w:p>
          <w:p w:rsidR="007F433A" w:rsidRPr="003D23E9" w:rsidRDefault="007F433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542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Kryteria wyłączenia:</w:t>
            </w:r>
          </w:p>
          <w:p w:rsidR="00366590" w:rsidRPr="003D23E9" w:rsidRDefault="00366590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4.1. Leczenie interferonem beta: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nadwrażliwość na interferon beta - ostre reakcje nadwrażliwości (wstrząs anafilaktyczny, skurcz oskrzeli, pokrzywka);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przejście w postać wtórnie postępującą- pogorszenie w skali EDSS o 1 pkt w ciągu 12 miesięcy nie związane z aktywnością rzutową;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kliniczny chorego oceniany w trakcie badania kontrolnego w skali EDSS powyżej </w:t>
            </w:r>
            <w:r w:rsidR="0028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5,0 </w:t>
            </w:r>
            <w:r w:rsidR="00A12AF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 trakcie remisji);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ciąża;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zdekompensowana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niewydolność wątroby (enzymy wątrobowe 5 razy lub więcej powyżej normy potwierdzone badaniem kontrolnym i utrzymujące się pomimo modyfikacji leczenia);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zaburzenia czynności tarczycy (bez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eutyreozy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istotne klinicznie zmiany skórne;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zmiana parametrów krwi w następującym zakresie: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 hemoglobiny poniżej 9 g/dl,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leukopenia poniżej 3000/µl,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limfopenia poniżej </w:t>
            </w:r>
            <w:r w:rsidR="0028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/µl,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trombocytopenia poniżej 75000/µl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potwierdzone badaniem kontrolnym i utrzymujące się pomimo modyfikacji leczenia;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depresja niepoddająca się leczeniu;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padaczka, z wyłączeniem napadów występujących u  dzieci i młodzieży jako objaw rzutu stwardnienia rozsianego;</w:t>
            </w:r>
          </w:p>
          <w:p w:rsidR="005C5429" w:rsidRPr="003D23E9" w:rsidRDefault="00D50D2A" w:rsidP="00B54D75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pojawienie się innych przeciwwskazań wymienionych w Charakterystyce Produktu Leczniczego. </w:t>
            </w:r>
          </w:p>
          <w:p w:rsidR="00D50D2A" w:rsidRPr="003D23E9" w:rsidRDefault="00D50D2A" w:rsidP="008719E1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Leczenie octanem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nadwrażliwość na octan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mannitol;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przejście w postać wtórnie postępującą - pogorszenie w  skali EDSS o 1 pkt w ciągu 12 miesięcy nie związane z aktywnością rzutową;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kliniczny chorego oceniany w trakcie badania kontrolnego w skali EDSS powyżej </w:t>
            </w:r>
            <w:r w:rsidR="0028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5,0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trakcie remisji);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istotne klinicznie zmiany skórne;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pojawienie się innych przeciwwskazań wymienionych w Charakterystyce Produktu Leczniczego.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dimetylu: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nadwrażliwość na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 lub substancje pomocnicze;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przejście w postać wtórnie postępującą- pogorszenie w skali EDSS o 1 pkt w ciągu 12 miesięcy nie związane z aktywnością rzutową;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 kliniczny chorego oceniany w trakcie badania kontrolnego w skali EDSS powyżej </w:t>
            </w:r>
            <w:r w:rsidR="0028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5,0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 trakcie remisji);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ciąża.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pojawienie się innych przeciwwskazań wymienionych w Charakterystyce Produktu Leczniczego.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beta-1a: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nadwrażliwość na naturalny lub rekombinowany interferon beta lub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na którąkolwiek substancję pomocniczą;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2) przejście w postać wtórnie postępującą- pogorszenie w skali EDSS o 1 pkt w ciągu 12 miesięcy nie związane z aktywnością rzutową;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stan kliniczny chorego oceniany w trakcie badania kontrolnego w skali EDSS powyżej </w:t>
            </w:r>
            <w:r w:rsidR="0028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5,0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trakcie remisji);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ciąża 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aktualnie ciężkie zaburzenia depresyjne i (lub) myśli samobójcze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pojawienie się innych przeciwwskazań wymienionych w Charakterystyce Produktu Leczniczego</w:t>
            </w:r>
          </w:p>
          <w:p w:rsidR="007F433A" w:rsidRPr="003D23E9" w:rsidRDefault="007F433A" w:rsidP="00B54D75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433A" w:rsidRPr="003D23E9" w:rsidRDefault="007F433A" w:rsidP="007F433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4.5</w:t>
            </w:r>
            <w:r w:rsidR="00EC1042" w:rsidRPr="003D23E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Leczenie </w:t>
            </w:r>
            <w:proofErr w:type="spellStart"/>
            <w:r w:rsidRPr="003D23E9">
              <w:rPr>
                <w:rFonts w:ascii="Times New Roman" w:hAnsi="Times New Roman"/>
                <w:b/>
                <w:color w:val="000000" w:themeColor="text1"/>
              </w:rPr>
              <w:t>teryflunomidem</w:t>
            </w:r>
            <w:proofErr w:type="spellEnd"/>
            <w:r w:rsidRPr="003D23E9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nadwrażliwość na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teryflunomid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lub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leflunomid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przejście w postać wtórnie postępującą - pogorszenie w skali EDSS o 1 pkt w ciągu 12 miesięcy nie związane z aktywnością rzutową;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stan kliniczny chorego oceniany w trakcie badania kontrolnego w skali EDSS powyżej </w:t>
            </w:r>
            <w:r w:rsidR="00285CC3">
              <w:rPr>
                <w:rFonts w:ascii="Times New Roman" w:hAnsi="Times New Roman"/>
                <w:color w:val="000000" w:themeColor="text1"/>
              </w:rPr>
              <w:t xml:space="preserve">5,0 </w:t>
            </w:r>
            <w:r w:rsidR="00034B96" w:rsidRPr="003D23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>(w trakcie remisji);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podejrzenie uszkodzenia wątroby - należy rozważyć przerwanie leczenia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teryflunomidem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, jeżeli potwierdzono zwiększenie aktywności enzymów wątrobowych przekraczające trzykrotnie górną granicę normy (GGN); 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ciężkie zaburzenia czynności wątroby (klasa C według skali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Childa-Pugha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ciąża, karmienie piersią lub niestosowanie skutecznych metod antykoncepcji u kobiet w wieku rozrodczym;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 niedobory odporności;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znaczne zaburzenia czynności szpiku kostnego albo znacząca niedokrwistość, leukopenia,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neutropenia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lub małopłytkowość: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hematokryt &lt; 24 % lub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całkowita liczba białych krwinek &lt; 4 000 /µl</w:t>
            </w:r>
            <w:r w:rsidRPr="003D23E9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 xml:space="preserve"> lub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całkowita liczba neutrofilii ≤ 1 500 /µl lub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liczba płytek krwi &lt; 150 000 /µl;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ciężkie, czynne zakażenia;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ciężkie zaburzenia czynności nerek u pacjentów dializowanych;</w:t>
            </w:r>
          </w:p>
          <w:p w:rsidR="007F433A" w:rsidRPr="003D23E9" w:rsidRDefault="007F433A" w:rsidP="007F433A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ciężka hipoproteinemia.</w:t>
            </w:r>
          </w:p>
          <w:p w:rsidR="00300497" w:rsidRPr="003D23E9" w:rsidRDefault="00300497" w:rsidP="008719E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00497" w:rsidRPr="003D23E9" w:rsidRDefault="00300497" w:rsidP="0030049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4.6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Leczenie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300497" w:rsidRPr="003D23E9" w:rsidRDefault="00A300B5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n</w:t>
            </w:r>
            <w:r w:rsidR="00300497" w:rsidRPr="003D23E9">
              <w:rPr>
                <w:rFonts w:ascii="Times New Roman" w:hAnsi="Times New Roman"/>
                <w:color w:val="000000" w:themeColor="text1"/>
              </w:rPr>
              <w:t xml:space="preserve">adwrażliwość na </w:t>
            </w:r>
            <w:proofErr w:type="spellStart"/>
            <w:r w:rsidR="00300497" w:rsidRPr="003D23E9">
              <w:rPr>
                <w:rFonts w:ascii="Times New Roman" w:hAnsi="Times New Roman"/>
                <w:color w:val="000000" w:themeColor="text1"/>
              </w:rPr>
              <w:t>alemtuzumab</w:t>
            </w:r>
            <w:proofErr w:type="spellEnd"/>
            <w:r w:rsidR="00300497" w:rsidRPr="003D23E9">
              <w:rPr>
                <w:rFonts w:ascii="Times New Roman" w:hAnsi="Times New Roman"/>
                <w:color w:val="000000" w:themeColor="text1"/>
              </w:rPr>
              <w:t xml:space="preserve"> lub substancje pomocnicze;</w:t>
            </w:r>
          </w:p>
          <w:p w:rsidR="00F65C6C" w:rsidRPr="003D23E9" w:rsidRDefault="00A300B5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ni</w:t>
            </w:r>
            <w:r w:rsidR="00F65C6C" w:rsidRPr="003D23E9">
              <w:rPr>
                <w:rFonts w:ascii="Times New Roman" w:hAnsi="Times New Roman"/>
                <w:color w:val="000000" w:themeColor="text1"/>
              </w:rPr>
              <w:t>eprzestrzeganie zasad leczenia;</w:t>
            </w:r>
          </w:p>
          <w:p w:rsidR="00F65C6C" w:rsidRPr="003D23E9" w:rsidRDefault="00A300B5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b</w:t>
            </w:r>
            <w:r w:rsidR="00F65C6C" w:rsidRPr="003D23E9">
              <w:rPr>
                <w:rFonts w:ascii="Times New Roman" w:hAnsi="Times New Roman"/>
                <w:color w:val="000000" w:themeColor="text1"/>
              </w:rPr>
              <w:t>rak stabilizacji lub postęp choroby pomimo leczeni</w:t>
            </w:r>
            <w:r w:rsidR="00C67941" w:rsidRPr="003D23E9">
              <w:rPr>
                <w:rFonts w:ascii="Times New Roman" w:hAnsi="Times New Roman"/>
                <w:color w:val="000000" w:themeColor="text1"/>
              </w:rPr>
              <w:t xml:space="preserve">a (dwa rzuty wymagające </w:t>
            </w:r>
            <w:proofErr w:type="spellStart"/>
            <w:r w:rsidR="00C67941" w:rsidRPr="003D23E9">
              <w:rPr>
                <w:rFonts w:ascii="Times New Roman" w:hAnsi="Times New Roman"/>
                <w:color w:val="000000" w:themeColor="text1"/>
              </w:rPr>
              <w:t>sterydoterapii</w:t>
            </w:r>
            <w:proofErr w:type="spellEnd"/>
            <w:r w:rsidR="00C67941" w:rsidRPr="003D23E9">
              <w:rPr>
                <w:rFonts w:ascii="Times New Roman" w:hAnsi="Times New Roman"/>
                <w:color w:val="000000" w:themeColor="text1"/>
              </w:rPr>
              <w:t xml:space="preserve"> lub pogorszenie o 2 punkty w EDSS w ciągu roku);</w:t>
            </w:r>
            <w:r w:rsidR="00F65C6C" w:rsidRPr="003D23E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00497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czynna choroba tarczycy, chyba, że potencjalne korzyści z zastosowanego leczenia usprawiedliwiają ryzyko wystąpienia autoimmunologicznej choroby tarczycy;</w:t>
            </w:r>
          </w:p>
          <w:p w:rsidR="00300497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nietolerancja </w:t>
            </w:r>
            <w:proofErr w:type="spellStart"/>
            <w:r w:rsidRPr="003D23E9">
              <w:rPr>
                <w:rFonts w:ascii="Times New Roman" w:hAnsi="Times New Roman"/>
                <w:color w:val="000000" w:themeColor="text1"/>
              </w:rPr>
              <w:t>alemtuzumabu</w:t>
            </w:r>
            <w:proofErr w:type="spellEnd"/>
            <w:r w:rsidRPr="003D23E9">
              <w:rPr>
                <w:rFonts w:ascii="Times New Roman" w:hAnsi="Times New Roman"/>
                <w:color w:val="000000" w:themeColor="text1"/>
              </w:rPr>
              <w:t xml:space="preserve"> (ciężkie reakcje związane z infuzją, reakcje anafilaktyczne);</w:t>
            </w:r>
          </w:p>
          <w:p w:rsidR="00300497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ciąża, chyba, że potencjalne korzyści dla matki z zastosowanego leczenia przewyższają potencjalne zagrożenie dla płodu;</w:t>
            </w:r>
          </w:p>
          <w:p w:rsidR="00300497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zakażenie w trakcie terapii ludzkim wirusem niedoboru odporności (HIV);</w:t>
            </w:r>
          </w:p>
          <w:p w:rsidR="00300497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wiremia HBV, HCV;</w:t>
            </w:r>
          </w:p>
          <w:p w:rsidR="005736D8" w:rsidRPr="003D23E9" w:rsidRDefault="00300497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klinicznie istotna chorob</w:t>
            </w:r>
            <w:r w:rsidR="00A70D99" w:rsidRPr="003D23E9">
              <w:rPr>
                <w:rFonts w:ascii="Times New Roman" w:hAnsi="Times New Roman"/>
                <w:color w:val="000000" w:themeColor="text1"/>
              </w:rPr>
              <w:t>a autoimmunizacyjna inna niż SM;</w:t>
            </w:r>
          </w:p>
          <w:p w:rsidR="005736D8" w:rsidRPr="003D23E9" w:rsidRDefault="005736D8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czynne zakażenia do momentu ich wyleczenia;</w:t>
            </w:r>
          </w:p>
          <w:p w:rsidR="005736D8" w:rsidRPr="003D23E9" w:rsidRDefault="005736D8" w:rsidP="005F17CC">
            <w:pPr>
              <w:pStyle w:val="Akapitzlist"/>
              <w:widowControl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nowotwór złośliwy.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66590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Określenie czasu leczenia w programie</w:t>
            </w:r>
            <w:r w:rsidR="002675A9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675A9" w:rsidRPr="003D23E9" w:rsidRDefault="002675A9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675A9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Określenie czasu leczenia w programie interferonem beta,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beta-1a,</w:t>
            </w:r>
            <w:r w:rsidR="00F65C6C" w:rsidRPr="003D23E9" w:rsidDel="007566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dimetylu,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D50D2A" w:rsidRPr="003D23E9" w:rsidRDefault="002675A9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D50D2A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12 miesiącach trwania leczenia dokonuje się oceny skuteczności leczenia.  Za brak skuteczności wymagający zmiany leczenia przyjmuje się wystąpienie obu poniższych sytuacji: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i ciężkość rzutów: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lub więcej rzutów  umiarkowanych (wzrost EDSS o 1 do 2 pkt. w zakresie jednego lub dwóch układów funkcjonalnych lub o 1 pkt w czterech lub większej liczbie układów funkcjonalnych) lub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ciężki rzut po pierwszych 6 miesiącach (wzrost w  EDSS większy niż w definicji rzutu umiarkowanego tj. powyżej 2 pkt.)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zmiany w badaniu rezonansu magnetycznego, gdy stwierdza się jedno z poniższych: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więcej niż jedna nowa zmiana Gd (+), </w:t>
            </w:r>
          </w:p>
          <w:p w:rsidR="00F65C6C" w:rsidRPr="003D23E9" w:rsidRDefault="00D50D2A" w:rsidP="00F65C6C">
            <w:pPr>
              <w:pStyle w:val="Defaul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więcej niż dwie nowe zmiany w sekwencji T2.</w:t>
            </w:r>
          </w:p>
          <w:p w:rsidR="00F65C6C" w:rsidRPr="003D23E9" w:rsidRDefault="00F65C6C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5C6C" w:rsidRPr="003D23E9" w:rsidRDefault="00F65C6C" w:rsidP="00F65C6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5.2. Określenie czasu leczenia w programie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F65C6C" w:rsidRPr="003D23E9" w:rsidRDefault="00F65C6C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Maksymalny czas leczenia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ramach programu obejmuje podanie 2 kursów leczenia oraz 48- miesięczny okres obserwacji od podania drugiej dawki leku.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Kryteria kontynuacji leczenia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75A9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programie interferonem beta,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beta-1a,</w:t>
            </w:r>
            <w:r w:rsidR="00F65C6C" w:rsidRPr="003D23E9" w:rsidDel="007566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dimetylu, </w:t>
            </w:r>
            <w:proofErr w:type="spellStart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F65C6C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terapia interferonem beta,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beta-1a,</w:t>
            </w:r>
            <w:r w:rsidRPr="003D23E9" w:rsidDel="00756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7F433A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C5429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</w:t>
            </w:r>
            <w:r w:rsidR="007F433A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7F433A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może być przedłużona o każde kolejne 12 miesięcy u  pacjentów niespełniających kryteriów wyłączenia zgodnie z pkt. 4 i kryteriów nieskuteczności pkt. 5.1;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 powinno być stosowane tak długo jak osiągana jest skuteczność kliniczna oraz nie wystąpią kryteria wyłączenia;</w:t>
            </w:r>
          </w:p>
          <w:p w:rsidR="00D50D2A" w:rsidRPr="003D23E9" w:rsidRDefault="00D50D2A" w:rsidP="00B54D75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po ukończeniu 18 r.ż. nie ma konieczności ponownej kwalifikacji pacjenta do programu po przeniesieniu leczenia do ośrodka dla dorosłych.</w:t>
            </w:r>
          </w:p>
        </w:tc>
        <w:tc>
          <w:tcPr>
            <w:tcW w:w="1552" w:type="pct"/>
          </w:tcPr>
          <w:p w:rsidR="00EC1042" w:rsidRPr="003D23E9" w:rsidRDefault="002E4F71" w:rsidP="008719E1">
            <w:pPr>
              <w:pStyle w:val="Defaul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Dawkowanie oraz sposób modyfikacji dawkowania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 programie:</w:t>
            </w:r>
          </w:p>
          <w:p w:rsidR="00366590" w:rsidRPr="003D23E9" w:rsidRDefault="00366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665B7" w:rsidRPr="00285CC3" w:rsidRDefault="00B665B7" w:rsidP="00285CC3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D86479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awkowanie oraz sposób modyfikacji dawkowania </w:t>
            </w:r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leczeniu interferonem beta, </w:t>
            </w:r>
            <w:proofErr w:type="spellStart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peginterferonem</w:t>
            </w:r>
            <w:proofErr w:type="spellEnd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beta-1a,</w:t>
            </w:r>
            <w:r w:rsidR="002E4F71" w:rsidRPr="003D23E9" w:rsidDel="00756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octanem </w:t>
            </w:r>
            <w:proofErr w:type="spellStart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3791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fumaranem</w:t>
            </w:r>
            <w:proofErr w:type="spellEnd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dimetylu</w:t>
            </w:r>
            <w:r w:rsidR="00893BD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teryflunomidem</w:t>
            </w:r>
            <w:proofErr w:type="spellEnd"/>
            <w:r w:rsidR="00893BD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="00893BD5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="002E4F71" w:rsidRPr="003D23E9" w:rsidDel="002E4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należy </w:t>
            </w:r>
            <w:r w:rsidR="00537910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prowadzić</w:t>
            </w:r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zapisami stosownych Charakterystyk Produktów </w:t>
            </w:r>
            <w:proofErr w:type="spellStart"/>
            <w:r w:rsidR="002E4F71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proofErr w:type="spellEnd"/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zastrzeżeniem pkt 2 poniżej</w:t>
            </w:r>
          </w:p>
          <w:p w:rsidR="00B665B7" w:rsidRPr="00285CC3" w:rsidRDefault="00B665B7" w:rsidP="00285CC3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awkowanie octanu </w:t>
            </w:r>
            <w:proofErr w:type="spellStart"/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glatirameru,dla</w:t>
            </w:r>
            <w:proofErr w:type="spellEnd"/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dawki 20 mg u dzieci i młodzieży: zalecane dawkowanie wynosi 20 mg octanu </w:t>
            </w:r>
            <w:proofErr w:type="spellStart"/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glatirameru</w:t>
            </w:r>
            <w:proofErr w:type="spellEnd"/>
            <w:r w:rsidRPr="00B66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we wstrzyknięciu podskórnym, raz na dobę.</w:t>
            </w:r>
          </w:p>
          <w:p w:rsidR="00B665B7" w:rsidRDefault="00B665B7" w:rsidP="00F90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4F71" w:rsidRPr="003D23E9" w:rsidRDefault="002E4F71" w:rsidP="00F909E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1B1095" w:rsidP="002E4F7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4" w:type="pct"/>
            <w:tcBorders>
              <w:right w:val="single" w:sz="4" w:space="0" w:color="auto"/>
            </w:tcBorders>
          </w:tcPr>
          <w:p w:rsidR="00EC1042" w:rsidRPr="003D23E9" w:rsidRDefault="00D50D2A" w:rsidP="00B54D7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1. Badania przy kwalifikacji:</w:t>
            </w:r>
          </w:p>
          <w:p w:rsidR="00EC1042" w:rsidRPr="003D23E9" w:rsidRDefault="00D50D2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biochemiczne w tym oceniające: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funkcje nerek,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funkcje wątroby, </w:t>
            </w:r>
          </w:p>
          <w:p w:rsidR="00EC1042" w:rsidRPr="003D23E9" w:rsidRDefault="00D50D2A">
            <w:pPr>
              <w:pStyle w:val="Default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funkcje tarczycy;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badanie ogólne moczu;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morfologia krwi z rozmazem;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rezonans magnetyczny przed  i po podaniu  kontrastu; rezonans magnetyczny wykonuje się w okresie kwalifikacji do programu. Jeżeli leczenie nie zostanie rozpoczęte w okresie 60 dni od jego wykonania to badanie powtarza się tuż przed zastosowaniem pierwszej dawki leku; 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przypadkach wątpliwych diagnostycznie wskazane badanie białka oligoklonalnego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płynie mózgowo-rdzeniowym. </w:t>
            </w:r>
          </w:p>
          <w:p w:rsidR="007F433A" w:rsidRPr="003D23E9" w:rsidRDefault="009746F5" w:rsidP="00537910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ciążowy u pacjentek w wieku rozrodczym</w:t>
            </w:r>
            <w:r w:rsidR="00D47C22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47C22" w:rsidRPr="003D23E9" w:rsidRDefault="00D47C22" w:rsidP="00D47C22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stanu neurologicznego z określeniem EDSS;</w:t>
            </w:r>
          </w:p>
          <w:p w:rsidR="00537910" w:rsidRPr="003D23E9" w:rsidRDefault="00537910" w:rsidP="008719E1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badania w kierunku HIV, oznaczenie jakościowe w kierunku wiremii HBV, HCV (dotyczy terapii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537910" w:rsidRPr="003D23E9" w:rsidRDefault="00537910" w:rsidP="008719E1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konsultacja specjalisty ds. chorób zakaźnych lub specjalisty chorób płuc (dotyczy terapii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alemtuzumabem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537910" w:rsidRDefault="00537910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935B2" w:rsidRDefault="001935B2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935B2" w:rsidRPr="003D23E9" w:rsidRDefault="001935B2" w:rsidP="00B54D7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C1042" w:rsidRPr="003D23E9" w:rsidRDefault="00D50D2A" w:rsidP="005F17CC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lastRenderedPageBreak/>
              <w:t>Monitorowanie leczenia:</w:t>
            </w:r>
          </w:p>
          <w:p w:rsidR="00FA03E2" w:rsidRPr="003D23E9" w:rsidRDefault="00FA03E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A03E2" w:rsidRPr="003D23E9" w:rsidRDefault="00FA03E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2.0. Ocena stanu neurologicznego, co 3 miesiące.</w:t>
            </w:r>
          </w:p>
          <w:p w:rsidR="00366590" w:rsidRPr="003D23E9" w:rsidRDefault="00366590" w:rsidP="008719E1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C1042" w:rsidRPr="003D23E9" w:rsidRDefault="00D50D2A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</w:t>
            </w:r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Monitorowanie leczenia interferonem beta lub octanem </w:t>
            </w:r>
            <w:proofErr w:type="spellStart"/>
            <w:r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glatirameru</w:t>
            </w:r>
            <w:proofErr w:type="spellEnd"/>
            <w:r w:rsidR="00EC1042" w:rsidRPr="003D23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D50D2A" w:rsidRPr="003D23E9" w:rsidRDefault="00EC1042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D50D2A"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laboratoryjne, o których mowa w ust. 1 wykonywane są:</w:t>
            </w:r>
          </w:p>
          <w:p w:rsidR="00EC1042" w:rsidRPr="003D23E9" w:rsidRDefault="00EC1042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dorosłych: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przez pierwsze 6 miesięcy leczenia - co 3 miesiące, </w:t>
            </w:r>
          </w:p>
          <w:p w:rsidR="00D50D2A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następnie co 6 miesięcy, z wyjątkiem morfologii i parametrów wątrobowych, które wykonywane są co 3 miesiące,</w:t>
            </w:r>
          </w:p>
          <w:p w:rsidR="00C77711" w:rsidRPr="003D23E9" w:rsidRDefault="00C77711" w:rsidP="005F17CC">
            <w:pPr>
              <w:pStyle w:val="Default"/>
              <w:spacing w:line="276" w:lineRule="auto"/>
              <w:ind w:left="10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dzieci i młodzieży: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pierwsze 3 miesiące – co miesiąc,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następnie co 3 miesiące;</w:t>
            </w:r>
          </w:p>
          <w:p w:rsidR="00EC1042" w:rsidRPr="003D23E9" w:rsidRDefault="00EC1042" w:rsidP="008719E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0D2A" w:rsidRPr="003D23E9" w:rsidRDefault="00D50D2A" w:rsidP="00B54D7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rezonans magnetyczny przed  i po podaniu  kontrastu – po każdych 12 miesiącach leczenia;</w:t>
            </w:r>
          </w:p>
          <w:p w:rsidR="00D50D2A" w:rsidRPr="003D23E9" w:rsidRDefault="00D50D2A" w:rsidP="00B54D7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oceniające skuteczność leczenia i  umożliwiające kontynuacje leczenia w programie wykonuje się każdorazowo po 12 miesiącach leczenia.</w:t>
            </w: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2.2. Monitorowanie leczenia </w:t>
            </w:r>
            <w:proofErr w:type="spellStart"/>
            <w:r w:rsidRPr="003D23E9">
              <w:rPr>
                <w:rFonts w:ascii="Times New Roman" w:hAnsi="Times New Roman"/>
                <w:b/>
                <w:color w:val="000000" w:themeColor="text1"/>
              </w:rPr>
              <w:t>fumaranem</w:t>
            </w:r>
            <w:proofErr w:type="spellEnd"/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dimetylu:</w:t>
            </w:r>
          </w:p>
          <w:p w:rsidR="00D50D2A" w:rsidRPr="003D23E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badania biochemiczne oceniające:</w:t>
            </w:r>
          </w:p>
          <w:p w:rsidR="00D50D2A" w:rsidRPr="003D23E9" w:rsidRDefault="00D50D2A" w:rsidP="00B54D75">
            <w:pPr>
              <w:spacing w:line="276" w:lineRule="auto"/>
              <w:ind w:left="578" w:hanging="142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a) funkcje nerek i wątroby - po 3 i 6 miesiącach leczenia, następnie co 6 do 12 miesięcy oraz według wskazań klinicznych, </w:t>
            </w:r>
          </w:p>
          <w:p w:rsidR="00D50D2A" w:rsidRPr="003D23E9" w:rsidRDefault="00D50D2A" w:rsidP="00B54D75">
            <w:pPr>
              <w:spacing w:line="276" w:lineRule="auto"/>
              <w:ind w:left="578" w:hanging="142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b) morfologię krwi z rozmazem- co 3 miesiące leczenia</w:t>
            </w:r>
          </w:p>
          <w:p w:rsidR="00D50D2A" w:rsidRPr="003D23E9" w:rsidRDefault="00D50D2A" w:rsidP="00B54D75">
            <w:pPr>
              <w:spacing w:line="276" w:lineRule="auto"/>
              <w:ind w:left="578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 xml:space="preserve">U pacjentów, u których liczba limfocytów będzie </w:t>
            </w:r>
            <w:r w:rsidRPr="003D23E9">
              <w:rPr>
                <w:rFonts w:ascii="Times New Roman" w:hAnsi="Times New Roman"/>
                <w:color w:val="000000" w:themeColor="text1"/>
              </w:rPr>
              <w:lastRenderedPageBreak/>
              <w:t>utrzymywała się na poziomie poniżej 500/ µl  przez ponad 6 miesięcy, należy ponownie rozważyć bilans korzyści i ryzyka w tym wziąć pod uwagę przerwanie leczenia.</w:t>
            </w:r>
          </w:p>
          <w:p w:rsidR="00D50D2A" w:rsidRPr="003D23E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rezonans magnetyczny przed i po podaniu  kontrastu – po każdych 12 miesiącach leczenia;</w:t>
            </w:r>
          </w:p>
          <w:p w:rsidR="00D50D2A" w:rsidRPr="003D23E9" w:rsidRDefault="00D50D2A" w:rsidP="00B54D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badania oceniające skuteczność leczenia i umożliwiające kontynuacje leczenia w programie wykonuje się każdorazowo po 12 miesiącach leczenia</w:t>
            </w: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2.3</w:t>
            </w:r>
            <w:r w:rsidR="00D86479" w:rsidRPr="003D23E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Monitorowanie leczenia </w:t>
            </w:r>
            <w:proofErr w:type="spellStart"/>
            <w:r w:rsidRPr="003D23E9">
              <w:rPr>
                <w:rFonts w:ascii="Times New Roman" w:hAnsi="Times New Roman"/>
                <w:b/>
                <w:color w:val="000000" w:themeColor="text1"/>
              </w:rPr>
              <w:t>peginterferonem</w:t>
            </w:r>
            <w:proofErr w:type="spellEnd"/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 beta-1a</w:t>
            </w:r>
            <w:r w:rsidR="00EC1042" w:rsidRPr="003D23E9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badania laboratoryjne, o których mowa w ust. 1 wykonywane są: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przez pierwsze 6 miesięcy leczenia - co 3 miesiące, </w:t>
            </w:r>
          </w:p>
          <w:p w:rsidR="00D50D2A" w:rsidRPr="003D23E9" w:rsidRDefault="00D50D2A" w:rsidP="00B54D75">
            <w:pPr>
              <w:spacing w:line="276" w:lineRule="auto"/>
              <w:ind w:left="436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- następnie co 6 miesięcy, z wyjątkiem morfologii i parametrów wątrobowych, które wykonywane są co 3 miesiące</w:t>
            </w:r>
          </w:p>
          <w:p w:rsidR="00D50D2A" w:rsidRPr="003D23E9" w:rsidRDefault="00D50D2A" w:rsidP="00B54D75">
            <w:pPr>
              <w:pStyle w:val="Default"/>
              <w:spacing w:line="276" w:lineRule="auto"/>
              <w:ind w:left="436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rezonans magnetyczny przed  i po podaniu  kontrastu – po każdych 12 miesiącach leczenia;</w:t>
            </w:r>
          </w:p>
          <w:p w:rsidR="00D50D2A" w:rsidRPr="003D23E9" w:rsidRDefault="00D50D2A" w:rsidP="00B54D75">
            <w:pPr>
              <w:spacing w:line="276" w:lineRule="auto"/>
              <w:ind w:left="436" w:hanging="425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3)</w:t>
            </w: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D23E9">
              <w:rPr>
                <w:rFonts w:ascii="Times New Roman" w:hAnsi="Times New Roman"/>
                <w:color w:val="000000" w:themeColor="text1"/>
              </w:rPr>
              <w:t>badania oceniające skuteczność leczenia i umożliwiające kontynuacje leczenia w programie wykonuje się każdorazowo po 12 miesiącach leczenia</w:t>
            </w:r>
          </w:p>
          <w:p w:rsidR="009746F5" w:rsidRPr="003D23E9" w:rsidRDefault="009746F5" w:rsidP="00B54D75">
            <w:pPr>
              <w:spacing w:line="276" w:lineRule="auto"/>
              <w:ind w:left="436" w:hanging="425"/>
              <w:rPr>
                <w:rFonts w:ascii="Times New Roman" w:hAnsi="Times New Roman"/>
                <w:color w:val="000000" w:themeColor="text1"/>
              </w:rPr>
            </w:pPr>
          </w:p>
          <w:p w:rsidR="009746F5" w:rsidRPr="003D23E9" w:rsidRDefault="009746F5" w:rsidP="009746F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2.4</w:t>
            </w:r>
            <w:r w:rsidR="00D86479" w:rsidRPr="003D23E9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 Monitorowanie leczenia </w:t>
            </w:r>
            <w:proofErr w:type="spellStart"/>
            <w:r w:rsidRPr="003D23E9">
              <w:rPr>
                <w:rFonts w:ascii="Times New Roman" w:hAnsi="Times New Roman"/>
                <w:b/>
                <w:color w:val="000000" w:themeColor="text1"/>
              </w:rPr>
              <w:t>teryflunomidem</w:t>
            </w:r>
            <w:proofErr w:type="spellEnd"/>
            <w:r w:rsidR="00EC1042" w:rsidRPr="003D23E9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9746F5" w:rsidRPr="003D23E9" w:rsidRDefault="009746F5" w:rsidP="009746F5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badania laboratoryjne, o których mowa w ust. 1 wykonywane są:</w:t>
            </w:r>
          </w:p>
          <w:p w:rsidR="009746F5" w:rsidRPr="003D23E9" w:rsidRDefault="009746F5" w:rsidP="009746F5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714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przez pierwsze 6 miesięcy leczenia, kontrola co 3 miesiące,</w:t>
            </w:r>
          </w:p>
          <w:p w:rsidR="009746F5" w:rsidRPr="003D23E9" w:rsidRDefault="009746F5" w:rsidP="009746F5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714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następnie co 6 miesięcy, z wyjątkiem morfologii, ciśnienia tętniczego krwi i parametrów wątrobowych, które wykonuje się co 3 miesiące;</w:t>
            </w:r>
          </w:p>
          <w:p w:rsidR="009746F5" w:rsidRPr="003D23E9" w:rsidRDefault="009746F5" w:rsidP="009746F5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rezonans magnetyczny przed i po podaniu kontrastu - po każdych 12 miesiącach leczenia;</w:t>
            </w:r>
          </w:p>
          <w:p w:rsidR="00F65C6C" w:rsidRPr="003D23E9" w:rsidRDefault="009746F5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lastRenderedPageBreak/>
              <w:t>badania oceniające skuteczność leczenia i umożliwiające kontynuacje leczenia w programie wykonuje się każdorazowo po 12 miesiącach leczenia.</w:t>
            </w:r>
          </w:p>
          <w:p w:rsidR="005C5429" w:rsidRPr="003D23E9" w:rsidRDefault="005C5429" w:rsidP="008719E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65C6C" w:rsidRPr="003D23E9" w:rsidRDefault="00F65C6C" w:rsidP="008719E1">
            <w:pPr>
              <w:pStyle w:val="Akapitzlist"/>
              <w:numPr>
                <w:ilvl w:val="1"/>
                <w:numId w:val="47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 xml:space="preserve">Monitorowanie leczenia </w:t>
            </w:r>
            <w:proofErr w:type="spellStart"/>
            <w:r w:rsidRPr="003D23E9">
              <w:rPr>
                <w:rFonts w:ascii="Times New Roman" w:hAnsi="Times New Roman"/>
                <w:b/>
                <w:color w:val="000000" w:themeColor="text1"/>
              </w:rPr>
              <w:t>alemtuzumabem</w:t>
            </w:r>
            <w:proofErr w:type="spellEnd"/>
            <w:r w:rsidR="00EC1042" w:rsidRPr="003D23E9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miesiąc: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4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 z rozmazem,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4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oznaczenie stężenia kreatyniny w surowicy,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4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 ogólne moczu,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3 miesiące oznaczenie hormonu </w:t>
            </w:r>
            <w:proofErr w:type="spellStart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tyreotropowego</w:t>
            </w:r>
            <w:proofErr w:type="spellEnd"/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(TSH);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 drugim podaniem leku: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5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kobiet w wieku rozrodczym – test ciążowy</w:t>
            </w:r>
          </w:p>
          <w:p w:rsidR="00F65C6C" w:rsidRPr="003D23E9" w:rsidRDefault="00F65C6C" w:rsidP="00F65C6C">
            <w:pPr>
              <w:pStyle w:val="Default"/>
              <w:numPr>
                <w:ilvl w:val="0"/>
                <w:numId w:val="45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badania w kierunku HIV, oznaczenie jakościowe w kierunku wiremii HBV, HCV,</w:t>
            </w:r>
          </w:p>
          <w:p w:rsidR="00D47C22" w:rsidRPr="003D23E9" w:rsidRDefault="00F65C6C" w:rsidP="00F65C6C">
            <w:pPr>
              <w:pStyle w:val="Default"/>
              <w:numPr>
                <w:ilvl w:val="0"/>
                <w:numId w:val="45"/>
              </w:numPr>
              <w:spacing w:line="276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ocena stanu neurologicznego z określeniem EDSS.</w:t>
            </w:r>
          </w:p>
          <w:p w:rsidR="00F65C6C" w:rsidRPr="003D23E9" w:rsidRDefault="00D47C22" w:rsidP="008719E1">
            <w:pPr>
              <w:pStyle w:val="Default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Zalecane wykonania RM minimum co 12 miesięcy</w:t>
            </w: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D23E9">
              <w:rPr>
                <w:rFonts w:ascii="Times New Roman" w:hAnsi="Times New Roman"/>
                <w:b/>
                <w:color w:val="000000" w:themeColor="text1"/>
              </w:rPr>
              <w:t>3. Monitorowanie programu:</w:t>
            </w:r>
          </w:p>
          <w:p w:rsidR="00D50D2A" w:rsidRPr="003D23E9" w:rsidRDefault="00D50D2A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gromadzenie w dokumentacji medycznej pacjenta danych dotyczących monitorowania leczenia i  każdorazowe ich przedstawianie na żądanie kontrolerów  Narodowego Funduszu Zdrowia;</w:t>
            </w:r>
          </w:p>
          <w:p w:rsidR="00D50D2A" w:rsidRPr="003D23E9" w:rsidRDefault="00D50D2A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D50D2A" w:rsidRPr="003D23E9" w:rsidRDefault="00D50D2A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3D23E9">
              <w:rPr>
                <w:rFonts w:ascii="Times New Roman" w:hAnsi="Times New Roman"/>
                <w:color w:val="000000" w:themeColor="text1"/>
              </w:rPr>
              <w:t>przekazywanie informacji sprawozdawczo-rozliczeniowych do NFZ: informacje przekazuje się do  NFZ w formie papierowej lub w formie elektronicznej, zgodnie z wymaganiami opublikowanymi przez Narodowy Fundusz Zdrowia.</w:t>
            </w:r>
          </w:p>
          <w:p w:rsidR="007B3C6A" w:rsidRPr="003D23E9" w:rsidRDefault="007B3C6A" w:rsidP="00B54D7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50D2A" w:rsidRPr="003D23E9" w:rsidRDefault="00D50D2A" w:rsidP="00B54D75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D50D2A" w:rsidRPr="003D23E9" w:rsidRDefault="00D50D2A" w:rsidP="00D50D2A">
      <w:pPr>
        <w:rPr>
          <w:rFonts w:ascii="Times New Roman" w:hAnsi="Times New Roman"/>
          <w:b/>
          <w:color w:val="000000" w:themeColor="text1"/>
        </w:rPr>
      </w:pPr>
    </w:p>
    <w:p w:rsidR="00D50D2A" w:rsidRPr="003D23E9" w:rsidRDefault="00D50D2A" w:rsidP="00D50D2A">
      <w:pPr>
        <w:rPr>
          <w:rFonts w:ascii="Times New Roman" w:hAnsi="Times New Roman"/>
          <w:color w:val="000000" w:themeColor="text1"/>
        </w:rPr>
      </w:pPr>
    </w:p>
    <w:p w:rsidR="00B22192" w:rsidRPr="003D23E9" w:rsidRDefault="00B22192" w:rsidP="00D50D2A">
      <w:pPr>
        <w:rPr>
          <w:rFonts w:ascii="Times New Roman" w:hAnsi="Times New Roman"/>
          <w:color w:val="000000" w:themeColor="text1"/>
        </w:rPr>
      </w:pPr>
    </w:p>
    <w:sectPr w:rsidR="00B22192" w:rsidRPr="003D23E9" w:rsidSect="000479E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EA"/>
    <w:multiLevelType w:val="hybridMultilevel"/>
    <w:tmpl w:val="4DF296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226AC"/>
    <w:multiLevelType w:val="multilevel"/>
    <w:tmpl w:val="AA70F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1E65AB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5521"/>
    <w:multiLevelType w:val="hybridMultilevel"/>
    <w:tmpl w:val="302C76D6"/>
    <w:lvl w:ilvl="0" w:tplc="5E566C3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48BF"/>
    <w:multiLevelType w:val="hybridMultilevel"/>
    <w:tmpl w:val="A752A9A6"/>
    <w:lvl w:ilvl="0" w:tplc="13144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748A7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30E0A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45A7"/>
    <w:multiLevelType w:val="hybridMultilevel"/>
    <w:tmpl w:val="99B66A88"/>
    <w:lvl w:ilvl="0" w:tplc="935CCF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748A7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26F41"/>
    <w:multiLevelType w:val="hybridMultilevel"/>
    <w:tmpl w:val="1B60AC70"/>
    <w:lvl w:ilvl="0" w:tplc="F176CB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A38EA"/>
    <w:multiLevelType w:val="hybridMultilevel"/>
    <w:tmpl w:val="43EE9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263A26"/>
    <w:multiLevelType w:val="hybridMultilevel"/>
    <w:tmpl w:val="48E2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A17B1"/>
    <w:multiLevelType w:val="hybridMultilevel"/>
    <w:tmpl w:val="9FC83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1168C"/>
    <w:multiLevelType w:val="hybridMultilevel"/>
    <w:tmpl w:val="E71C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13F5"/>
    <w:multiLevelType w:val="hybridMultilevel"/>
    <w:tmpl w:val="E2C2EEBA"/>
    <w:lvl w:ilvl="0" w:tplc="693472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0931CB"/>
    <w:multiLevelType w:val="hybridMultilevel"/>
    <w:tmpl w:val="748236FE"/>
    <w:lvl w:ilvl="0" w:tplc="4C48C0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3231A"/>
    <w:multiLevelType w:val="hybridMultilevel"/>
    <w:tmpl w:val="C9263112"/>
    <w:lvl w:ilvl="0" w:tplc="C7AE1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B3C4D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86816"/>
    <w:multiLevelType w:val="hybridMultilevel"/>
    <w:tmpl w:val="DB002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40474"/>
    <w:multiLevelType w:val="hybridMultilevel"/>
    <w:tmpl w:val="2D70954C"/>
    <w:lvl w:ilvl="0" w:tplc="4C48C0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E7891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F6F76"/>
    <w:multiLevelType w:val="hybridMultilevel"/>
    <w:tmpl w:val="1924F1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8F21A7"/>
    <w:multiLevelType w:val="hybridMultilevel"/>
    <w:tmpl w:val="867CB56A"/>
    <w:lvl w:ilvl="0" w:tplc="4C48C0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C26013"/>
    <w:multiLevelType w:val="hybridMultilevel"/>
    <w:tmpl w:val="D25EDD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748A7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880A24"/>
    <w:multiLevelType w:val="hybridMultilevel"/>
    <w:tmpl w:val="25020EB2"/>
    <w:lvl w:ilvl="0" w:tplc="3B14CE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416E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64295"/>
    <w:multiLevelType w:val="hybridMultilevel"/>
    <w:tmpl w:val="5B5A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4C24"/>
    <w:multiLevelType w:val="hybridMultilevel"/>
    <w:tmpl w:val="AE2E9E0E"/>
    <w:lvl w:ilvl="0" w:tplc="C7AE12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C06307"/>
    <w:multiLevelType w:val="hybridMultilevel"/>
    <w:tmpl w:val="9C8A0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25BA"/>
    <w:multiLevelType w:val="hybridMultilevel"/>
    <w:tmpl w:val="1A3E1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537A7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97907"/>
    <w:multiLevelType w:val="hybridMultilevel"/>
    <w:tmpl w:val="3BACA2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953DB"/>
    <w:multiLevelType w:val="multilevel"/>
    <w:tmpl w:val="61D23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003597"/>
    <w:multiLevelType w:val="hybridMultilevel"/>
    <w:tmpl w:val="5B5A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05325"/>
    <w:multiLevelType w:val="hybridMultilevel"/>
    <w:tmpl w:val="7AF0AB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A333F2A"/>
    <w:multiLevelType w:val="hybridMultilevel"/>
    <w:tmpl w:val="CFD85082"/>
    <w:lvl w:ilvl="0" w:tplc="FC76FA0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4B3B6E"/>
    <w:multiLevelType w:val="hybridMultilevel"/>
    <w:tmpl w:val="3D44E43A"/>
    <w:lvl w:ilvl="0" w:tplc="6CE884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9307B3"/>
    <w:multiLevelType w:val="hybridMultilevel"/>
    <w:tmpl w:val="87F40BB8"/>
    <w:lvl w:ilvl="0" w:tplc="E216FE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45F83"/>
    <w:multiLevelType w:val="hybridMultilevel"/>
    <w:tmpl w:val="53D8F384"/>
    <w:lvl w:ilvl="0" w:tplc="AB14C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EE64FD"/>
    <w:multiLevelType w:val="hybridMultilevel"/>
    <w:tmpl w:val="F706691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8696F1C"/>
    <w:multiLevelType w:val="hybridMultilevel"/>
    <w:tmpl w:val="40A21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59031C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9B5778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8B46B9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54D49"/>
    <w:multiLevelType w:val="hybridMultilevel"/>
    <w:tmpl w:val="16FAEB4E"/>
    <w:lvl w:ilvl="0" w:tplc="A02EA5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F917C0"/>
    <w:multiLevelType w:val="hybridMultilevel"/>
    <w:tmpl w:val="A5961630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4" w15:restartNumberingAfterBreak="0">
    <w:nsid w:val="60916399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1525B86"/>
    <w:multiLevelType w:val="hybridMultilevel"/>
    <w:tmpl w:val="00644E02"/>
    <w:lvl w:ilvl="0" w:tplc="C95A037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CC458A"/>
    <w:multiLevelType w:val="hybridMultilevel"/>
    <w:tmpl w:val="A5760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6F3234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B69660F"/>
    <w:multiLevelType w:val="hybridMultilevel"/>
    <w:tmpl w:val="62388C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3040C8"/>
    <w:multiLevelType w:val="hybridMultilevel"/>
    <w:tmpl w:val="4058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CF7A75"/>
    <w:multiLevelType w:val="hybridMultilevel"/>
    <w:tmpl w:val="0512E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817C4E"/>
    <w:multiLevelType w:val="hybridMultilevel"/>
    <w:tmpl w:val="14567C10"/>
    <w:lvl w:ilvl="0" w:tplc="BDCCA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E696838"/>
    <w:multiLevelType w:val="hybridMultilevel"/>
    <w:tmpl w:val="08D4E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C650CF"/>
    <w:multiLevelType w:val="hybridMultilevel"/>
    <w:tmpl w:val="16FAEB4E"/>
    <w:lvl w:ilvl="0" w:tplc="A02EA5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2"/>
  </w:num>
  <w:num w:numId="5">
    <w:abstractNumId w:val="47"/>
  </w:num>
  <w:num w:numId="6">
    <w:abstractNumId w:val="0"/>
  </w:num>
  <w:num w:numId="7">
    <w:abstractNumId w:val="52"/>
  </w:num>
  <w:num w:numId="8">
    <w:abstractNumId w:val="48"/>
  </w:num>
  <w:num w:numId="9">
    <w:abstractNumId w:val="32"/>
  </w:num>
  <w:num w:numId="10">
    <w:abstractNumId w:val="38"/>
  </w:num>
  <w:num w:numId="11">
    <w:abstractNumId w:val="5"/>
  </w:num>
  <w:num w:numId="12">
    <w:abstractNumId w:val="3"/>
  </w:num>
  <w:num w:numId="13">
    <w:abstractNumId w:val="53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40"/>
  </w:num>
  <w:num w:numId="19">
    <w:abstractNumId w:val="49"/>
  </w:num>
  <w:num w:numId="20">
    <w:abstractNumId w:val="46"/>
  </w:num>
  <w:num w:numId="21">
    <w:abstractNumId w:val="39"/>
  </w:num>
  <w:num w:numId="22">
    <w:abstractNumId w:val="28"/>
  </w:num>
  <w:num w:numId="23">
    <w:abstractNumId w:val="18"/>
  </w:num>
  <w:num w:numId="24">
    <w:abstractNumId w:val="33"/>
  </w:num>
  <w:num w:numId="25">
    <w:abstractNumId w:val="16"/>
  </w:num>
  <w:num w:numId="26">
    <w:abstractNumId w:val="44"/>
  </w:num>
  <w:num w:numId="27">
    <w:abstractNumId w:val="25"/>
  </w:num>
  <w:num w:numId="28">
    <w:abstractNumId w:val="14"/>
  </w:num>
  <w:num w:numId="29">
    <w:abstractNumId w:val="51"/>
  </w:num>
  <w:num w:numId="30">
    <w:abstractNumId w:val="17"/>
  </w:num>
  <w:num w:numId="31">
    <w:abstractNumId w:val="31"/>
  </w:num>
  <w:num w:numId="32">
    <w:abstractNumId w:val="22"/>
  </w:num>
  <w:num w:numId="33">
    <w:abstractNumId w:val="35"/>
  </w:num>
  <w:num w:numId="34">
    <w:abstractNumId w:val="24"/>
  </w:num>
  <w:num w:numId="35">
    <w:abstractNumId w:val="19"/>
  </w:num>
  <w:num w:numId="36">
    <w:abstractNumId w:val="37"/>
  </w:num>
  <w:num w:numId="37">
    <w:abstractNumId w:val="36"/>
  </w:num>
  <w:num w:numId="38">
    <w:abstractNumId w:val="12"/>
  </w:num>
  <w:num w:numId="39">
    <w:abstractNumId w:val="27"/>
  </w:num>
  <w:num w:numId="40">
    <w:abstractNumId w:val="26"/>
  </w:num>
  <w:num w:numId="41">
    <w:abstractNumId w:val="11"/>
  </w:num>
  <w:num w:numId="42">
    <w:abstractNumId w:val="9"/>
  </w:num>
  <w:num w:numId="43">
    <w:abstractNumId w:val="34"/>
  </w:num>
  <w:num w:numId="44">
    <w:abstractNumId w:val="43"/>
  </w:num>
  <w:num w:numId="45">
    <w:abstractNumId w:val="8"/>
  </w:num>
  <w:num w:numId="46">
    <w:abstractNumId w:val="1"/>
  </w:num>
  <w:num w:numId="47">
    <w:abstractNumId w:val="30"/>
  </w:num>
  <w:num w:numId="48">
    <w:abstractNumId w:val="4"/>
  </w:num>
  <w:num w:numId="49">
    <w:abstractNumId w:val="21"/>
  </w:num>
  <w:num w:numId="50">
    <w:abstractNumId w:val="42"/>
  </w:num>
  <w:num w:numId="51">
    <w:abstractNumId w:val="45"/>
  </w:num>
  <w:num w:numId="52">
    <w:abstractNumId w:val="13"/>
  </w:num>
  <w:num w:numId="53">
    <w:abstractNumId w:val="20"/>
  </w:num>
  <w:num w:numId="54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2A"/>
    <w:rsid w:val="000024E8"/>
    <w:rsid w:val="000219CE"/>
    <w:rsid w:val="00034B96"/>
    <w:rsid w:val="000479E7"/>
    <w:rsid w:val="00095F2D"/>
    <w:rsid w:val="000C0002"/>
    <w:rsid w:val="0017498F"/>
    <w:rsid w:val="001935B2"/>
    <w:rsid w:val="001B0B8A"/>
    <w:rsid w:val="001B0B98"/>
    <w:rsid w:val="001B1095"/>
    <w:rsid w:val="001E0EAC"/>
    <w:rsid w:val="00242AC4"/>
    <w:rsid w:val="002435AB"/>
    <w:rsid w:val="0026413D"/>
    <w:rsid w:val="002675A9"/>
    <w:rsid w:val="00285CC3"/>
    <w:rsid w:val="002E4F71"/>
    <w:rsid w:val="00300497"/>
    <w:rsid w:val="00365BCD"/>
    <w:rsid w:val="00366590"/>
    <w:rsid w:val="003D23E9"/>
    <w:rsid w:val="004A4185"/>
    <w:rsid w:val="00537910"/>
    <w:rsid w:val="00561158"/>
    <w:rsid w:val="005736D8"/>
    <w:rsid w:val="005852A4"/>
    <w:rsid w:val="005C5429"/>
    <w:rsid w:val="005F17CC"/>
    <w:rsid w:val="005F5A8C"/>
    <w:rsid w:val="00634EF5"/>
    <w:rsid w:val="006F0183"/>
    <w:rsid w:val="00703957"/>
    <w:rsid w:val="007B3C6A"/>
    <w:rsid w:val="007E526E"/>
    <w:rsid w:val="007F433A"/>
    <w:rsid w:val="00870FC6"/>
    <w:rsid w:val="008719E1"/>
    <w:rsid w:val="00893BD5"/>
    <w:rsid w:val="008C4C99"/>
    <w:rsid w:val="008C6B83"/>
    <w:rsid w:val="008F6EBB"/>
    <w:rsid w:val="0090170D"/>
    <w:rsid w:val="0092439B"/>
    <w:rsid w:val="009746F5"/>
    <w:rsid w:val="009D77F9"/>
    <w:rsid w:val="00A12AF0"/>
    <w:rsid w:val="00A300B5"/>
    <w:rsid w:val="00A70D99"/>
    <w:rsid w:val="00A756BE"/>
    <w:rsid w:val="00A76817"/>
    <w:rsid w:val="00A86600"/>
    <w:rsid w:val="00B22192"/>
    <w:rsid w:val="00B665B7"/>
    <w:rsid w:val="00B92B5F"/>
    <w:rsid w:val="00BD1F44"/>
    <w:rsid w:val="00BE1460"/>
    <w:rsid w:val="00BF2D94"/>
    <w:rsid w:val="00BF4321"/>
    <w:rsid w:val="00C60F3A"/>
    <w:rsid w:val="00C67941"/>
    <w:rsid w:val="00C77711"/>
    <w:rsid w:val="00D47C22"/>
    <w:rsid w:val="00D50D2A"/>
    <w:rsid w:val="00D86479"/>
    <w:rsid w:val="00D93CA4"/>
    <w:rsid w:val="00DD254D"/>
    <w:rsid w:val="00DE296D"/>
    <w:rsid w:val="00E21AB9"/>
    <w:rsid w:val="00E32C7C"/>
    <w:rsid w:val="00E90EDE"/>
    <w:rsid w:val="00EC1042"/>
    <w:rsid w:val="00ED7640"/>
    <w:rsid w:val="00F65C6C"/>
    <w:rsid w:val="00F909E6"/>
    <w:rsid w:val="00FA03E2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F899-6BC8-4DB6-A230-2DED385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D50D2A"/>
    <w:pPr>
      <w:ind w:left="720"/>
      <w:contextualSpacing/>
    </w:pPr>
  </w:style>
  <w:style w:type="paragraph" w:styleId="Poprawka">
    <w:name w:val="Revision"/>
    <w:hidden/>
    <w:uiPriority w:val="99"/>
    <w:semiHidden/>
    <w:rsid w:val="00365B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"/>
    <w:link w:val="Akapitzlist"/>
    <w:uiPriority w:val="34"/>
    <w:locked/>
    <w:rsid w:val="00365B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B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B5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4DD0-62BE-418C-95CE-A435EA3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3187</Words>
  <Characters>19125</Characters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2017-04-07T12:19:00Z</cp:lastPrinted>
  <dcterms:created xsi:type="dcterms:W3CDTF">2017-07-26T09:17:00Z</dcterms:created>
  <dcterms:modified xsi:type="dcterms:W3CDTF">2017-08-11T09:30:00Z</dcterms:modified>
</cp:coreProperties>
</file>