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3A" w:rsidRDefault="00A2533A" w:rsidP="00A2533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Załącznik B.87</w:t>
      </w:r>
      <w:r w:rsidRPr="00A2533A">
        <w:rPr>
          <w:rFonts w:ascii="Times New Roman" w:eastAsia="Times New Roman" w:hAnsi="Times New Roman" w:cs="Times New Roman"/>
          <w:lang w:val="pl-PL" w:eastAsia="pl-PL"/>
        </w:rPr>
        <w:t>.</w:t>
      </w:r>
    </w:p>
    <w:p w:rsidR="00A2533A" w:rsidRPr="00A2533A" w:rsidRDefault="00A2533A" w:rsidP="00A25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63A7E" w:rsidRPr="00A2533A" w:rsidRDefault="00B63A7E" w:rsidP="00B63A7E">
      <w:pP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A2533A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LECZENIE IDIOPATYCZNEGO WŁÓKNIENIA PŁUC (ICD-10 J84.1)</w:t>
      </w:r>
    </w:p>
    <w:tbl>
      <w:tblPr>
        <w:tblStyle w:val="Tabela-Siatka"/>
        <w:tblW w:w="13893" w:type="dxa"/>
        <w:tblInd w:w="-5" w:type="dxa"/>
        <w:tblLook w:val="04A0" w:firstRow="1" w:lastRow="0" w:firstColumn="1" w:lastColumn="0" w:noHBand="0" w:noVBand="1"/>
      </w:tblPr>
      <w:tblGrid>
        <w:gridCol w:w="4631"/>
        <w:gridCol w:w="4631"/>
        <w:gridCol w:w="4631"/>
      </w:tblGrid>
      <w:tr w:rsidR="00B63A7E" w:rsidRPr="00A2533A" w:rsidTr="00F64DF4">
        <w:trPr>
          <w:trHeight w:val="168"/>
        </w:trPr>
        <w:tc>
          <w:tcPr>
            <w:tcW w:w="13893" w:type="dxa"/>
            <w:gridSpan w:val="3"/>
            <w:vAlign w:val="center"/>
          </w:tcPr>
          <w:p w:rsidR="00B63A7E" w:rsidRPr="00A2533A" w:rsidRDefault="00B63A7E" w:rsidP="00D07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2533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F64DF4" w:rsidRPr="00A2533A" w:rsidTr="00A2533A">
        <w:trPr>
          <w:trHeight w:val="688"/>
        </w:trPr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:rsidR="00F64DF4" w:rsidRPr="00F64DF4" w:rsidRDefault="00F64DF4" w:rsidP="00F64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4DF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4631" w:type="dxa"/>
            <w:vAlign w:val="center"/>
          </w:tcPr>
          <w:p w:rsidR="00F64DF4" w:rsidRPr="00F64DF4" w:rsidRDefault="00F64DF4" w:rsidP="00F64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4DF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SCHEMAT DAWKOWANIA LEKU W PROGRAMIE</w:t>
            </w:r>
          </w:p>
        </w:tc>
        <w:tc>
          <w:tcPr>
            <w:tcW w:w="4631" w:type="dxa"/>
            <w:vAlign w:val="center"/>
          </w:tcPr>
          <w:p w:rsidR="00F64DF4" w:rsidRPr="00F64DF4" w:rsidRDefault="00F64DF4" w:rsidP="00F64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64DF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BADANIA DIAGNOSTYCZNE WYKONYWANE </w:t>
            </w:r>
            <w:r w:rsidRPr="00F64DF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  <w:t>W RAMACH PROGRAMU</w:t>
            </w:r>
          </w:p>
        </w:tc>
      </w:tr>
      <w:tr w:rsidR="00B63A7E" w:rsidRPr="00A2533A" w:rsidTr="00A2533A">
        <w:trPr>
          <w:trHeight w:val="4535"/>
        </w:trPr>
        <w:tc>
          <w:tcPr>
            <w:tcW w:w="4631" w:type="dxa"/>
            <w:tcBorders>
              <w:bottom w:val="single" w:sz="4" w:space="0" w:color="auto"/>
            </w:tcBorders>
          </w:tcPr>
          <w:p w:rsidR="00B63A7E" w:rsidRPr="00A2533A" w:rsidRDefault="00B63A7E" w:rsidP="00D076E2">
            <w:pPr>
              <w:pStyle w:val="NormalnyWeb"/>
              <w:spacing w:before="24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>1. Kryteria kwalifikacji</w:t>
            </w:r>
          </w:p>
          <w:p w:rsidR="00B63A7E" w:rsidRPr="00A2533A" w:rsidRDefault="00B63A7E" w:rsidP="00D076E2">
            <w:pPr>
              <w:pStyle w:val="NormalnyWeb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 xml:space="preserve">Do leczenia </w:t>
            </w:r>
            <w:proofErr w:type="spellStart"/>
            <w:r w:rsidRPr="00A2533A">
              <w:rPr>
                <w:b/>
                <w:sz w:val="20"/>
                <w:szCs w:val="20"/>
              </w:rPr>
              <w:t>pirfenidonem</w:t>
            </w:r>
            <w:proofErr w:type="spellEnd"/>
            <w:r w:rsidRPr="00A2533A">
              <w:rPr>
                <w:b/>
                <w:sz w:val="20"/>
                <w:szCs w:val="20"/>
              </w:rPr>
              <w:t xml:space="preserve"> kwalifikują się świadczeniobiorcy spełniający wszystkie poniższe kryteria: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1"/>
              </w:numPr>
              <w:spacing w:before="120" w:beforeAutospacing="0" w:after="0" w:afterAutospacing="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Wiek powyżej 18. roku życia;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1"/>
              </w:numPr>
              <w:spacing w:before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Rozpoznanie idiopatycznego włóknienia płuc (IPF), na podstawie badania tomografii komputerowej wysokiej rozdzielczości – TKWR; po uprzednim wykluczeniu znanych przyczyn włóknienia płuc przez lekarza specjalistę chorób płuc;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1"/>
              </w:numPr>
              <w:spacing w:before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W przypadku gdy badanie TKWR nie było wystarczające do postawienia diagnozy, konieczna jest ocena histopatologiczna materiału pobranego w czasie chirurgicznej biopsji płuca; 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1"/>
              </w:numPr>
              <w:spacing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FVC powyżej 50% wartości należnej;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18" w:hanging="284"/>
              <w:jc w:val="both"/>
              <w:rPr>
                <w:sz w:val="20"/>
                <w:szCs w:val="20"/>
              </w:rPr>
            </w:pPr>
            <w:proofErr w:type="spellStart"/>
            <w:r w:rsidRPr="00A2533A">
              <w:rPr>
                <w:sz w:val="20"/>
                <w:szCs w:val="20"/>
              </w:rPr>
              <w:t>DLco</w:t>
            </w:r>
            <w:proofErr w:type="spellEnd"/>
            <w:r w:rsidRPr="00A2533A">
              <w:rPr>
                <w:sz w:val="20"/>
                <w:szCs w:val="20"/>
              </w:rPr>
              <w:t xml:space="preserve"> powyżej 30%;</w:t>
            </w:r>
          </w:p>
          <w:p w:rsidR="00B63A7E" w:rsidRPr="00A2533A" w:rsidRDefault="00B63A7E" w:rsidP="00D076E2">
            <w:pPr>
              <w:pStyle w:val="NormalnyWeb"/>
              <w:spacing w:before="240" w:beforeAutospacing="0" w:after="0" w:afterAutospacing="0"/>
              <w:jc w:val="both"/>
              <w:rPr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>2. Określenie czasu leczenia w programie</w:t>
            </w:r>
          </w:p>
          <w:p w:rsidR="00B63A7E" w:rsidRPr="00A2533A" w:rsidRDefault="00B63A7E" w:rsidP="00D076E2">
            <w:pPr>
              <w:pStyle w:val="NormalnyWeb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Leczenie w programie prowadzone jest do czasy spełnienia przez świadczeniobiorcę któregokolwiek kryterium wyłączenia z programu.</w:t>
            </w:r>
          </w:p>
          <w:p w:rsidR="00B63A7E" w:rsidRPr="00A2533A" w:rsidRDefault="00B63A7E" w:rsidP="00D076E2">
            <w:pPr>
              <w:pStyle w:val="NormalnyWeb"/>
              <w:spacing w:before="240" w:beforeAutospacing="0" w:after="0" w:afterAutospacing="0"/>
              <w:rPr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>3. Kryteria wyłączenia</w:t>
            </w:r>
          </w:p>
          <w:p w:rsidR="00770D22" w:rsidRPr="00A2533A" w:rsidRDefault="00770D22" w:rsidP="00770D22">
            <w:pPr>
              <w:pStyle w:val="NormalnyWeb"/>
              <w:numPr>
                <w:ilvl w:val="0"/>
                <w:numId w:val="2"/>
              </w:numPr>
              <w:spacing w:before="120" w:beforeAutospacing="0" w:after="0" w:afterAutospacing="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Progresja choroby definiowana jako obniżenie FVC o co najmniej 10% w ciągu pierwszych 12 miesięcy leczenia, a następnie co 6 miesięcy, potwierdzone w dwóch badaniach spirometrycznych wykonanych w odstępie 2-4 tygodni mierzona co 6 miesięcy leczenia.</w:t>
            </w:r>
          </w:p>
          <w:p w:rsidR="00B63A7E" w:rsidRPr="00A2533A" w:rsidRDefault="00B63A7E" w:rsidP="00770D22">
            <w:pPr>
              <w:pStyle w:val="NormalnyWeb"/>
              <w:numPr>
                <w:ilvl w:val="0"/>
                <w:numId w:val="2"/>
              </w:numPr>
              <w:spacing w:before="120" w:beforeAutospacing="0" w:after="0" w:afterAutospacing="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B63A7E" w:rsidRPr="00A2533A" w:rsidRDefault="00B63A7E" w:rsidP="00770D22">
            <w:pPr>
              <w:pStyle w:val="NormalnyWeb"/>
              <w:numPr>
                <w:ilvl w:val="0"/>
                <w:numId w:val="2"/>
              </w:numPr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Obrzęk naczynioruchowy podczas stosowania </w:t>
            </w:r>
            <w:proofErr w:type="spellStart"/>
            <w:r w:rsidRPr="00A2533A">
              <w:rPr>
                <w:sz w:val="20"/>
                <w:szCs w:val="20"/>
              </w:rPr>
              <w:t>pirfenidonu</w:t>
            </w:r>
            <w:proofErr w:type="spellEnd"/>
            <w:r w:rsidRPr="00A2533A">
              <w:rPr>
                <w:sz w:val="20"/>
                <w:szCs w:val="20"/>
              </w:rPr>
              <w:t xml:space="preserve"> w wywiadzie;</w:t>
            </w:r>
          </w:p>
          <w:p w:rsidR="00B63A7E" w:rsidRPr="00A2533A" w:rsidRDefault="00B63A7E" w:rsidP="00770D22">
            <w:pPr>
              <w:pStyle w:val="NormalnyWeb"/>
              <w:numPr>
                <w:ilvl w:val="0"/>
                <w:numId w:val="2"/>
              </w:numPr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Jednoczesne stosowanie </w:t>
            </w:r>
            <w:proofErr w:type="spellStart"/>
            <w:r w:rsidRPr="00A2533A">
              <w:rPr>
                <w:sz w:val="20"/>
                <w:szCs w:val="20"/>
              </w:rPr>
              <w:t>fluwoksaminy</w:t>
            </w:r>
            <w:proofErr w:type="spellEnd"/>
            <w:r w:rsidRPr="00A2533A">
              <w:rPr>
                <w:sz w:val="20"/>
                <w:szCs w:val="20"/>
              </w:rPr>
              <w:t>;</w:t>
            </w:r>
          </w:p>
          <w:p w:rsidR="00B63A7E" w:rsidRPr="00A2533A" w:rsidRDefault="00B63A7E" w:rsidP="00770D22">
            <w:pPr>
              <w:pStyle w:val="NormalnyWeb"/>
              <w:numPr>
                <w:ilvl w:val="0"/>
                <w:numId w:val="2"/>
              </w:numPr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Ciężkie zaburzenia czynności wątroby lub krańcowa niewydolność wątroby;</w:t>
            </w:r>
          </w:p>
          <w:p w:rsidR="00B63A7E" w:rsidRPr="00A2533A" w:rsidRDefault="00B63A7E" w:rsidP="00770D22">
            <w:pPr>
              <w:pStyle w:val="NormalnyWeb"/>
              <w:numPr>
                <w:ilvl w:val="0"/>
                <w:numId w:val="2"/>
              </w:numPr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Ciężka niewydolność nerek (</w:t>
            </w:r>
            <w:proofErr w:type="spellStart"/>
            <w:r w:rsidRPr="00A2533A">
              <w:rPr>
                <w:sz w:val="20"/>
                <w:szCs w:val="20"/>
              </w:rPr>
              <w:t>klirens</w:t>
            </w:r>
            <w:proofErr w:type="spellEnd"/>
            <w:r w:rsidRPr="00A2533A">
              <w:rPr>
                <w:sz w:val="20"/>
                <w:szCs w:val="20"/>
              </w:rPr>
              <w:t xml:space="preserve"> kreatyniny poniżej 30 ml/min) lub krańcowa niewydolność nerek wymagająca dializoterapii;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2"/>
              </w:numPr>
              <w:tabs>
                <w:tab w:val="left" w:pos="2880"/>
              </w:tabs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Ciąża i karmienie piersią;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2"/>
              </w:numPr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Inne ciężkie i źle rokujące choroby np. aktywna choroba nowotworowa, ciężka niewydolność serca.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2"/>
              </w:numPr>
              <w:spacing w:before="60" w:after="60"/>
              <w:ind w:left="318" w:hanging="284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Brak zgody na leczenie</w:t>
            </w:r>
          </w:p>
        </w:tc>
        <w:tc>
          <w:tcPr>
            <w:tcW w:w="4631" w:type="dxa"/>
          </w:tcPr>
          <w:p w:rsidR="00B63A7E" w:rsidRPr="00A2533A" w:rsidRDefault="00B63A7E" w:rsidP="00D076E2">
            <w:pPr>
              <w:spacing w:before="240" w:after="6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2533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1. Dawkowanie </w:t>
            </w:r>
          </w:p>
          <w:p w:rsidR="00B63A7E" w:rsidRPr="00A2533A" w:rsidRDefault="00B63A7E" w:rsidP="00D076E2">
            <w:pPr>
              <w:spacing w:before="120" w:after="6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253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Sposób dawkowania </w:t>
            </w:r>
            <w:proofErr w:type="spellStart"/>
            <w:r w:rsidRPr="00A253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pirfenidonu</w:t>
            </w:r>
            <w:proofErr w:type="spellEnd"/>
            <w:r w:rsidRPr="00A253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ewentualne przerwanie leczenia prowadzone jest zgodnie z Charakterystyką Produktu Leczni</w:t>
            </w:r>
            <w:bookmarkStart w:id="0" w:name="_GoBack"/>
            <w:bookmarkEnd w:id="0"/>
            <w:r w:rsidRPr="00A253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czego.</w:t>
            </w:r>
          </w:p>
        </w:tc>
        <w:tc>
          <w:tcPr>
            <w:tcW w:w="4631" w:type="dxa"/>
          </w:tcPr>
          <w:p w:rsidR="00B63A7E" w:rsidRPr="00A2533A" w:rsidRDefault="00B63A7E" w:rsidP="00D076E2">
            <w:pPr>
              <w:pStyle w:val="NormalnyWeb"/>
              <w:spacing w:before="240" w:beforeAutospacing="0" w:after="60" w:afterAutospacing="0"/>
              <w:rPr>
                <w:b/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>1. Badania przy kwalifikacji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Spirometria; 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Oznaczenie pojemności dyfuzyjnej CO (</w:t>
            </w:r>
            <w:proofErr w:type="spellStart"/>
            <w:r w:rsidRPr="00A2533A">
              <w:rPr>
                <w:sz w:val="20"/>
                <w:szCs w:val="20"/>
              </w:rPr>
              <w:t>DLco</w:t>
            </w:r>
            <w:proofErr w:type="spellEnd"/>
            <w:r w:rsidRPr="00A2533A">
              <w:rPr>
                <w:sz w:val="20"/>
                <w:szCs w:val="20"/>
              </w:rPr>
              <w:t xml:space="preserve">); 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TKWR klatki piersiowej (tomografia komputerowa wysokiej rozdzielczości);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Chirurgiczna biopsja płuc z oceną (badanie nieobligatoryjne) 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Gazometria krwi lub </w:t>
            </w:r>
            <w:proofErr w:type="spellStart"/>
            <w:r w:rsidRPr="00A2533A">
              <w:rPr>
                <w:sz w:val="20"/>
                <w:szCs w:val="20"/>
              </w:rPr>
              <w:t>pulsoksymetria</w:t>
            </w:r>
            <w:proofErr w:type="spellEnd"/>
            <w:r w:rsidRPr="00A2533A">
              <w:rPr>
                <w:sz w:val="20"/>
                <w:szCs w:val="20"/>
              </w:rPr>
              <w:t>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Aktywność </w:t>
            </w:r>
            <w:proofErr w:type="spellStart"/>
            <w:r w:rsidRPr="00A2533A">
              <w:rPr>
                <w:sz w:val="20"/>
                <w:szCs w:val="20"/>
              </w:rPr>
              <w:t>AlAT</w:t>
            </w:r>
            <w:proofErr w:type="spellEnd"/>
            <w:r w:rsidRPr="00A2533A">
              <w:rPr>
                <w:sz w:val="20"/>
                <w:szCs w:val="20"/>
              </w:rPr>
              <w:t xml:space="preserve"> i </w:t>
            </w:r>
            <w:proofErr w:type="spellStart"/>
            <w:r w:rsidRPr="00A2533A">
              <w:rPr>
                <w:sz w:val="20"/>
                <w:szCs w:val="20"/>
              </w:rPr>
              <w:t>AspAT</w:t>
            </w:r>
            <w:proofErr w:type="spellEnd"/>
            <w:r w:rsidRPr="00A2533A">
              <w:rPr>
                <w:sz w:val="20"/>
                <w:szCs w:val="20"/>
              </w:rPr>
              <w:t xml:space="preserve">, bilirubina w surowicy, wskaźnik </w:t>
            </w:r>
            <w:proofErr w:type="spellStart"/>
            <w:r w:rsidRPr="00A2533A">
              <w:rPr>
                <w:sz w:val="20"/>
                <w:szCs w:val="20"/>
              </w:rPr>
              <w:t>protrombinowy</w:t>
            </w:r>
            <w:proofErr w:type="spellEnd"/>
            <w:r w:rsidRPr="00A2533A">
              <w:rPr>
                <w:sz w:val="20"/>
                <w:szCs w:val="20"/>
              </w:rPr>
              <w:t>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proofErr w:type="spellStart"/>
            <w:r w:rsidRPr="00A2533A">
              <w:rPr>
                <w:sz w:val="20"/>
                <w:szCs w:val="20"/>
              </w:rPr>
              <w:t>Klirens</w:t>
            </w:r>
            <w:proofErr w:type="spellEnd"/>
            <w:r w:rsidRPr="00A2533A">
              <w:rPr>
                <w:sz w:val="20"/>
                <w:szCs w:val="20"/>
              </w:rPr>
              <w:t xml:space="preserve"> kreatyniny endogennej;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Morfologia krwi. </w:t>
            </w:r>
          </w:p>
          <w:p w:rsidR="00B63A7E" w:rsidRPr="00A2533A" w:rsidRDefault="00B63A7E" w:rsidP="00D076E2">
            <w:pPr>
              <w:pStyle w:val="NormalnyWeb"/>
              <w:spacing w:before="240" w:beforeAutospacing="0" w:after="60" w:afterAutospacing="0"/>
              <w:rPr>
                <w:b/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>2. Monitorowanie leczenia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/>
              <w:ind w:left="270" w:hanging="283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Badania oceniające czynność układu oddechowego i skuteczność leczenia wykonywane co 6 miesięcy;</w:t>
            </w:r>
          </w:p>
          <w:p w:rsidR="00B63A7E" w:rsidRPr="00A2533A" w:rsidRDefault="00B63A7E" w:rsidP="00D076E2">
            <w:pPr>
              <w:pStyle w:val="NormalnyWeb"/>
              <w:numPr>
                <w:ilvl w:val="2"/>
                <w:numId w:val="5"/>
              </w:numPr>
              <w:spacing w:before="60" w:beforeAutospacing="0" w:after="60" w:afterAutospacing="0"/>
              <w:ind w:left="412" w:hanging="284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Spirometria;</w:t>
            </w:r>
          </w:p>
          <w:p w:rsidR="00B63A7E" w:rsidRPr="00A2533A" w:rsidRDefault="00B63A7E" w:rsidP="00D076E2">
            <w:pPr>
              <w:pStyle w:val="NormalnyWeb"/>
              <w:numPr>
                <w:ilvl w:val="2"/>
                <w:numId w:val="5"/>
              </w:numPr>
              <w:spacing w:before="60" w:beforeAutospacing="0" w:after="60" w:afterAutospacing="0"/>
              <w:ind w:left="412" w:hanging="284"/>
              <w:rPr>
                <w:sz w:val="20"/>
                <w:szCs w:val="20"/>
              </w:rPr>
            </w:pPr>
            <w:proofErr w:type="spellStart"/>
            <w:r w:rsidRPr="00A2533A">
              <w:rPr>
                <w:sz w:val="20"/>
                <w:szCs w:val="20"/>
              </w:rPr>
              <w:t>DLco</w:t>
            </w:r>
            <w:proofErr w:type="spellEnd"/>
          </w:p>
          <w:p w:rsidR="00B63A7E" w:rsidRPr="00A2533A" w:rsidRDefault="00B63A7E" w:rsidP="00D076E2">
            <w:pPr>
              <w:pStyle w:val="NormalnyWeb"/>
              <w:numPr>
                <w:ilvl w:val="2"/>
                <w:numId w:val="5"/>
              </w:numPr>
              <w:spacing w:before="60" w:beforeAutospacing="0" w:after="60" w:afterAutospacing="0"/>
              <w:ind w:left="412" w:hanging="284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Gazometria krwi lub </w:t>
            </w:r>
            <w:proofErr w:type="spellStart"/>
            <w:r w:rsidRPr="00A2533A">
              <w:rPr>
                <w:sz w:val="20"/>
                <w:szCs w:val="20"/>
              </w:rPr>
              <w:t>pulsoksymetria</w:t>
            </w:r>
            <w:proofErr w:type="spellEnd"/>
            <w:r w:rsidRPr="00A2533A">
              <w:rPr>
                <w:sz w:val="20"/>
                <w:szCs w:val="20"/>
              </w:rPr>
              <w:t>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/>
              <w:ind w:left="270" w:hanging="283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TKWR klatki piersiowej co 12 miesięcy;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/>
              <w:ind w:left="270" w:hanging="283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Badania oceniające funkcję wątroby w czasie terapii: </w:t>
            </w:r>
          </w:p>
          <w:p w:rsidR="00B63A7E" w:rsidRPr="00A2533A" w:rsidRDefault="00B63A7E" w:rsidP="00D076E2">
            <w:pPr>
              <w:pStyle w:val="NormalnyWeb"/>
              <w:numPr>
                <w:ilvl w:val="2"/>
                <w:numId w:val="4"/>
              </w:numPr>
              <w:spacing w:before="60" w:beforeAutospacing="0" w:after="60" w:afterAutospacing="0"/>
              <w:ind w:left="412" w:hanging="284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 xml:space="preserve">Aktywność </w:t>
            </w:r>
            <w:proofErr w:type="spellStart"/>
            <w:r w:rsidRPr="00A2533A">
              <w:rPr>
                <w:sz w:val="20"/>
                <w:szCs w:val="20"/>
              </w:rPr>
              <w:t>AlAT</w:t>
            </w:r>
            <w:proofErr w:type="spellEnd"/>
            <w:r w:rsidRPr="00A2533A">
              <w:rPr>
                <w:sz w:val="20"/>
                <w:szCs w:val="20"/>
              </w:rPr>
              <w:t xml:space="preserve"> i </w:t>
            </w:r>
            <w:proofErr w:type="spellStart"/>
            <w:r w:rsidRPr="00A2533A">
              <w:rPr>
                <w:sz w:val="20"/>
                <w:szCs w:val="20"/>
              </w:rPr>
              <w:t>AspAT</w:t>
            </w:r>
            <w:proofErr w:type="spellEnd"/>
            <w:r w:rsidRPr="00A2533A">
              <w:rPr>
                <w:sz w:val="20"/>
                <w:szCs w:val="20"/>
              </w:rPr>
              <w:t xml:space="preserve"> oraz stężenie bilirubiny co miesiąc w ciągu pierwszych 6 miesięcy; leczenia, a następnie co 3 miesiące;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/>
              <w:ind w:left="270" w:hanging="270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Morfologia krwi co 6 miesięcy.</w:t>
            </w:r>
          </w:p>
          <w:p w:rsidR="00B63A7E" w:rsidRPr="00A2533A" w:rsidRDefault="00B63A7E" w:rsidP="00D076E2">
            <w:pPr>
              <w:pStyle w:val="NormalnyWeb"/>
              <w:spacing w:before="240" w:beforeAutospacing="0" w:after="60" w:afterAutospacing="0"/>
              <w:rPr>
                <w:b/>
                <w:sz w:val="20"/>
                <w:szCs w:val="20"/>
              </w:rPr>
            </w:pPr>
            <w:r w:rsidRPr="00A2533A">
              <w:rPr>
                <w:b/>
                <w:sz w:val="20"/>
                <w:szCs w:val="20"/>
              </w:rPr>
              <w:t>3. Monitorowanie programu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3"/>
              </w:numPr>
              <w:spacing w:before="60" w:beforeAutospacing="0" w:after="60" w:afterAutospacing="0"/>
              <w:ind w:left="270" w:hanging="270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Gromadzenie w dokumentacji medycznej pacjenta danych dotyczących monitorowania leczenia i każdorazowe ich przedstawianie na żądanie kontrolerów Narodowego Funduszu Zdrowia;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3"/>
              </w:numPr>
              <w:spacing w:before="60" w:beforeAutospacing="0" w:after="60" w:afterAutospacing="0"/>
              <w:ind w:left="270" w:hanging="270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Uzupełnienie danych zawartych w rejestrze (SMPT) dostępnym za pomocą aplikacji internetowej udostępnionej przez OW NFZ, z częstotliwością zgodną z opisem programu oraz na zakończenie leczenia;</w:t>
            </w:r>
          </w:p>
          <w:p w:rsidR="00B63A7E" w:rsidRPr="00A2533A" w:rsidRDefault="00B63A7E" w:rsidP="00D076E2">
            <w:pPr>
              <w:pStyle w:val="NormalnyWeb"/>
              <w:numPr>
                <w:ilvl w:val="0"/>
                <w:numId w:val="3"/>
              </w:numPr>
              <w:spacing w:before="60" w:beforeAutospacing="0" w:after="60" w:afterAutospacing="0"/>
              <w:ind w:left="270" w:hanging="270"/>
              <w:jc w:val="both"/>
              <w:rPr>
                <w:sz w:val="20"/>
                <w:szCs w:val="20"/>
              </w:rPr>
            </w:pPr>
            <w:r w:rsidRPr="00A2533A">
              <w:rPr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NFZ.</w:t>
            </w:r>
          </w:p>
        </w:tc>
      </w:tr>
    </w:tbl>
    <w:p w:rsidR="00B73B51" w:rsidRPr="00A2533A" w:rsidRDefault="00B73B51" w:rsidP="00B63A7E">
      <w:pPr>
        <w:rPr>
          <w:lang w:val="pl-PL"/>
        </w:rPr>
      </w:pPr>
    </w:p>
    <w:sectPr w:rsidR="00B73B51" w:rsidRPr="00A2533A" w:rsidSect="00A2533A">
      <w:pgSz w:w="16840" w:h="11907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256"/>
    <w:multiLevelType w:val="hybridMultilevel"/>
    <w:tmpl w:val="5ADE8096"/>
    <w:lvl w:ilvl="0" w:tplc="172AEC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D0E26"/>
    <w:multiLevelType w:val="hybridMultilevel"/>
    <w:tmpl w:val="DF648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F2033"/>
    <w:multiLevelType w:val="hybridMultilevel"/>
    <w:tmpl w:val="EA265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D498A"/>
    <w:multiLevelType w:val="hybridMultilevel"/>
    <w:tmpl w:val="20803A60"/>
    <w:lvl w:ilvl="0" w:tplc="AC164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9D63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6337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C6E12"/>
    <w:multiLevelType w:val="multilevel"/>
    <w:tmpl w:val="E91EC90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33E23178"/>
    <w:multiLevelType w:val="hybridMultilevel"/>
    <w:tmpl w:val="18F2554E"/>
    <w:lvl w:ilvl="0" w:tplc="AC164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9D63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6337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7E"/>
    <w:rsid w:val="000B3AFD"/>
    <w:rsid w:val="00770D22"/>
    <w:rsid w:val="00A2533A"/>
    <w:rsid w:val="00B63A7E"/>
    <w:rsid w:val="00B73B51"/>
    <w:rsid w:val="00BE7753"/>
    <w:rsid w:val="00E01C56"/>
    <w:rsid w:val="00F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E26B-EBD1-4F86-AAF2-BCBB7D4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A7E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A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B6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A7E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A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2016-03-02T11:55:00Z</cp:lastPrinted>
  <dcterms:created xsi:type="dcterms:W3CDTF">2016-12-22T14:16:00Z</dcterms:created>
  <dcterms:modified xsi:type="dcterms:W3CDTF">2016-12-22T14:24:00Z</dcterms:modified>
</cp:coreProperties>
</file>