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E4" w:rsidRDefault="00D354E4" w:rsidP="00D354E4">
      <w:pPr>
        <w:rPr>
          <w:b/>
          <w:bCs/>
        </w:rPr>
      </w:pPr>
      <w:r w:rsidRPr="00D354E4">
        <w:rPr>
          <w:b/>
          <w:bCs/>
        </w:rPr>
        <w:t>Rekomendacje bezpieczeństwa dla budowy sieci 5G</w:t>
      </w:r>
      <w:bookmarkStart w:id="0" w:name="_GoBack"/>
      <w:bookmarkEnd w:id="0"/>
    </w:p>
    <w:p w:rsidR="00D354E4" w:rsidRDefault="00D354E4" w:rsidP="00D354E4">
      <w:pPr>
        <w:rPr>
          <w:b/>
          <w:bCs/>
        </w:rPr>
      </w:pPr>
    </w:p>
    <w:p w:rsidR="00D354E4" w:rsidRDefault="00D354E4" w:rsidP="00D354E4">
      <w:r>
        <w:rPr>
          <w:b/>
          <w:bCs/>
        </w:rPr>
        <w:t xml:space="preserve">15 lipca br. Ministerstwo Cyfryzacji przesłało, z </w:t>
      </w:r>
      <w:r>
        <w:rPr>
          <w:b/>
          <w:bCs/>
        </w:rPr>
        <w:t>godnie z planem</w:t>
      </w:r>
      <w:r>
        <w:rPr>
          <w:b/>
          <w:bCs/>
        </w:rPr>
        <w:t>,</w:t>
      </w:r>
      <w:r>
        <w:rPr>
          <w:b/>
          <w:bCs/>
        </w:rPr>
        <w:t xml:space="preserve"> do Komisji Europejskiej informacje odnośnie szacowania ryzyka dla sieci 5G oraz proponowanych działań mitygujących</w:t>
      </w:r>
      <w:r>
        <w:t xml:space="preserve">. </w:t>
      </w:r>
    </w:p>
    <w:p w:rsidR="00D354E4" w:rsidRDefault="00D354E4" w:rsidP="00D354E4"/>
    <w:p w:rsidR="00D354E4" w:rsidRDefault="00D354E4" w:rsidP="00D354E4">
      <w:r>
        <w:t>Wypełniony formularz oraz analiza został</w:t>
      </w:r>
      <w:r>
        <w:t>y</w:t>
      </w:r>
      <w:r>
        <w:t xml:space="preserve"> </w:t>
      </w:r>
      <w:r>
        <w:t>przekazane</w:t>
      </w:r>
      <w:r>
        <w:t xml:space="preserve"> Grup</w:t>
      </w:r>
      <w:r>
        <w:t>ie</w:t>
      </w:r>
      <w:r>
        <w:t xml:space="preserve"> roboczej przy KE w celu </w:t>
      </w:r>
      <w:r>
        <w:t xml:space="preserve">ich </w:t>
      </w:r>
      <w:r>
        <w:t xml:space="preserve">analizy przez Komisję Europejską i ENISA. </w:t>
      </w:r>
    </w:p>
    <w:p w:rsidR="00D354E4" w:rsidRDefault="00D354E4" w:rsidP="00D354E4">
      <w:pPr>
        <w:rPr>
          <w:b/>
          <w:bCs/>
        </w:rPr>
      </w:pPr>
    </w:p>
    <w:p w:rsidR="00D354E4" w:rsidRDefault="00D354E4" w:rsidP="00D354E4">
      <w:r>
        <w:rPr>
          <w:b/>
          <w:bCs/>
        </w:rPr>
        <w:t xml:space="preserve">Analiza została przygotowana przez Zespół roboczy powołany przez Ministra Cyfryzacji z udziałem ekspertów MC, NASK PIB i IŁ PIB oraz ABW pod przewodnictwem </w:t>
      </w:r>
      <w:r>
        <w:rPr>
          <w:b/>
          <w:bCs/>
        </w:rPr>
        <w:t xml:space="preserve">Karola Okońskiego, </w:t>
      </w:r>
      <w:r>
        <w:rPr>
          <w:b/>
          <w:bCs/>
        </w:rPr>
        <w:t xml:space="preserve">Pełnomocnika Rządu ds. </w:t>
      </w:r>
      <w:proofErr w:type="spellStart"/>
      <w:r>
        <w:rPr>
          <w:b/>
          <w:bCs/>
        </w:rPr>
        <w:t>Cyberbezpieczeństwa</w:t>
      </w:r>
      <w:proofErr w:type="spellEnd"/>
      <w:r>
        <w:t xml:space="preserve">. Następnie wyniki analizy zostały </w:t>
      </w:r>
      <w:r>
        <w:rPr>
          <w:b/>
          <w:bCs/>
        </w:rPr>
        <w:t xml:space="preserve">zaakceptowane przez Kolegium ds. </w:t>
      </w:r>
      <w:proofErr w:type="spellStart"/>
      <w:r>
        <w:rPr>
          <w:b/>
          <w:bCs/>
        </w:rPr>
        <w:t>Cyberbezpieczeństwa</w:t>
      </w:r>
      <w:proofErr w:type="spellEnd"/>
      <w:r>
        <w:t>.</w:t>
      </w:r>
    </w:p>
    <w:p w:rsidR="00D354E4" w:rsidRDefault="00D354E4" w:rsidP="00D354E4"/>
    <w:p w:rsidR="00D354E4" w:rsidRPr="00D354E4" w:rsidRDefault="00D354E4" w:rsidP="00D354E4">
      <w:pPr>
        <w:rPr>
          <w:b/>
        </w:rPr>
      </w:pPr>
      <w:r w:rsidRPr="00D354E4">
        <w:rPr>
          <w:b/>
        </w:rPr>
        <w:t>P</w:t>
      </w:r>
      <w:r w:rsidRPr="00D354E4">
        <w:rPr>
          <w:b/>
          <w:bCs/>
        </w:rPr>
        <w:t>roponowane działania dzielą się na 2 etapy</w:t>
      </w:r>
      <w:r w:rsidRPr="00D354E4">
        <w:rPr>
          <w:b/>
        </w:rPr>
        <w:t>:</w:t>
      </w:r>
    </w:p>
    <w:p w:rsidR="00D354E4" w:rsidRDefault="00D354E4" w:rsidP="00D354E4">
      <w:pPr>
        <w:pStyle w:val="Akapitzlist"/>
        <w:numPr>
          <w:ilvl w:val="0"/>
          <w:numId w:val="1"/>
        </w:numPr>
      </w:pPr>
      <w:r>
        <w:t xml:space="preserve">- </w:t>
      </w:r>
      <w:r w:rsidRPr="00D354E4">
        <w:rPr>
          <w:b/>
          <w:bCs/>
          <w:u w:val="single"/>
        </w:rPr>
        <w:t>krótkoterminowo</w:t>
      </w:r>
      <w:r>
        <w:t xml:space="preserve"> (2019 Q4) planujemy </w:t>
      </w:r>
      <w:r w:rsidRPr="00D354E4">
        <w:rPr>
          <w:b/>
          <w:bCs/>
        </w:rPr>
        <w:t xml:space="preserve">nowelizację rozporządzeń do prawa telekomunikacyjnego i uzupełnienie warunków uczestnictwa związanych z </w:t>
      </w:r>
      <w:proofErr w:type="spellStart"/>
      <w:r w:rsidRPr="00D354E4">
        <w:rPr>
          <w:b/>
          <w:bCs/>
        </w:rPr>
        <w:t>cyberbezpieczeństwem</w:t>
      </w:r>
      <w:proofErr w:type="spellEnd"/>
      <w:r w:rsidRPr="00D354E4">
        <w:rPr>
          <w:b/>
          <w:bCs/>
        </w:rPr>
        <w:t xml:space="preserve"> przy rozdziale nowych częstotliwości przez UKE</w:t>
      </w:r>
      <w:r>
        <w:t xml:space="preserve">: </w:t>
      </w:r>
    </w:p>
    <w:p w:rsidR="00D354E4" w:rsidRDefault="00D354E4" w:rsidP="00D354E4">
      <w:pPr>
        <w:pStyle w:val="Akapitzlist"/>
        <w:numPr>
          <w:ilvl w:val="1"/>
          <w:numId w:val="3"/>
        </w:numPr>
      </w:pPr>
      <w:r>
        <w:t xml:space="preserve">w celu zwiększenia poziomu bezpieczeństwa i podniesienia poziomu ciągłości działania, ustanowimy </w:t>
      </w:r>
      <w:r w:rsidRPr="00D354E4">
        <w:rPr>
          <w:b/>
          <w:bCs/>
        </w:rPr>
        <w:t>dodatkowe obowiązki w obszarze organizacyjnym, procesowym i technicznym</w:t>
      </w:r>
      <w:r>
        <w:t xml:space="preserve"> dla kluczowych</w:t>
      </w:r>
      <w:r w:rsidRPr="00D354E4">
        <w:rPr>
          <w:b/>
          <w:bCs/>
        </w:rPr>
        <w:t xml:space="preserve"> operatorów telekomunikacyjnych,</w:t>
      </w:r>
      <w:r>
        <w:t xml:space="preserve">  </w:t>
      </w:r>
    </w:p>
    <w:p w:rsidR="00D354E4" w:rsidRDefault="00D354E4" w:rsidP="00D354E4">
      <w:pPr>
        <w:pStyle w:val="Akapitzlist"/>
        <w:numPr>
          <w:ilvl w:val="1"/>
          <w:numId w:val="3"/>
        </w:numPr>
      </w:pPr>
      <w:r>
        <w:t xml:space="preserve">wprowadzimy obowiązek </w:t>
      </w:r>
      <w:r w:rsidRPr="00D354E4">
        <w:rPr>
          <w:b/>
          <w:bCs/>
        </w:rPr>
        <w:t>dywersyfikacji dostawców sprzętu przynajmniej na kluczowych obszarach sieci</w:t>
      </w:r>
      <w:r>
        <w:t xml:space="preserve"> wraz z </w:t>
      </w:r>
      <w:r w:rsidRPr="00D354E4">
        <w:rPr>
          <w:b/>
          <w:bCs/>
        </w:rPr>
        <w:t xml:space="preserve">obowiązkowym </w:t>
      </w:r>
      <w:proofErr w:type="spellStart"/>
      <w:r w:rsidRPr="00D354E4">
        <w:rPr>
          <w:b/>
          <w:bCs/>
        </w:rPr>
        <w:t>roamingiem</w:t>
      </w:r>
      <w:proofErr w:type="spellEnd"/>
      <w:r w:rsidRPr="00D354E4">
        <w:rPr>
          <w:b/>
          <w:bCs/>
        </w:rPr>
        <w:t xml:space="preserve"> lokalnym</w:t>
      </w:r>
      <w:r>
        <w:t xml:space="preserve"> przynajmniej dla wybranych usług dla sytuacji awaryjnych,</w:t>
      </w:r>
    </w:p>
    <w:p w:rsidR="00D354E4" w:rsidRDefault="00D354E4" w:rsidP="00D354E4">
      <w:pPr>
        <w:pStyle w:val="Akapitzlist"/>
        <w:numPr>
          <w:ilvl w:val="1"/>
          <w:numId w:val="3"/>
        </w:numPr>
      </w:pPr>
      <w:r>
        <w:t>-</w:t>
      </w:r>
      <w:r>
        <w:t xml:space="preserve">nałożymy </w:t>
      </w:r>
      <w:r w:rsidRPr="00D354E4">
        <w:rPr>
          <w:b/>
          <w:bCs/>
        </w:rPr>
        <w:t xml:space="preserve">wymagania co do stosowania zaufanych dostawców; </w:t>
      </w:r>
    </w:p>
    <w:p w:rsidR="00D354E4" w:rsidRDefault="00D354E4" w:rsidP="00D354E4">
      <w:pPr>
        <w:pStyle w:val="Akapitzlist"/>
        <w:numPr>
          <w:ilvl w:val="0"/>
          <w:numId w:val="1"/>
        </w:numPr>
      </w:pPr>
      <w:r>
        <w:t xml:space="preserve">- </w:t>
      </w:r>
      <w:r w:rsidRPr="00D354E4">
        <w:rPr>
          <w:b/>
          <w:bCs/>
          <w:u w:val="single"/>
        </w:rPr>
        <w:t>długoterminowo</w:t>
      </w:r>
      <w:r>
        <w:t xml:space="preserve"> (2020) planujemy </w:t>
      </w:r>
      <w:r w:rsidRPr="00D354E4">
        <w:rPr>
          <w:b/>
          <w:bCs/>
        </w:rPr>
        <w:t xml:space="preserve">nowelizację Ustawy o Krajowym Systemie </w:t>
      </w:r>
      <w:proofErr w:type="spellStart"/>
      <w:r w:rsidRPr="00D354E4">
        <w:rPr>
          <w:b/>
          <w:bCs/>
        </w:rPr>
        <w:t>Cyberbezpieczeństwa</w:t>
      </w:r>
      <w:proofErr w:type="spellEnd"/>
      <w:r w:rsidRPr="00D354E4">
        <w:rPr>
          <w:b/>
          <w:bCs/>
        </w:rPr>
        <w:t xml:space="preserve"> i Ustawy o Zarządzaniu Kryzysowym</w:t>
      </w:r>
      <w:r>
        <w:t xml:space="preserve">: </w:t>
      </w:r>
    </w:p>
    <w:p w:rsidR="00D354E4" w:rsidRDefault="00D354E4" w:rsidP="00D354E4">
      <w:pPr>
        <w:pStyle w:val="Akapitzlist"/>
        <w:numPr>
          <w:ilvl w:val="0"/>
          <w:numId w:val="4"/>
        </w:numPr>
      </w:pPr>
      <w:r>
        <w:t xml:space="preserve">stworzymy prawną możliwość </w:t>
      </w:r>
      <w:r w:rsidRPr="00D354E4">
        <w:rPr>
          <w:b/>
          <w:bCs/>
        </w:rPr>
        <w:t>wydania rekomendacji/ostrzeżenia/decyzji o wykluczeniu danego produktu lub dostawcy</w:t>
      </w:r>
      <w:r>
        <w:t>, do zastosowania szczególnie u Operatorów Infrastruktury Krytycznej, Operatorów Usług Kluczowych, Dostawców Usług Cyfrowych, Dostawców Usług Zaufania, Dostawców Usług Kwalifikowanych, Operatorów Telekomunikacyjnych i Administracji Publicznej,</w:t>
      </w:r>
    </w:p>
    <w:p w:rsidR="00D354E4" w:rsidRDefault="00D354E4" w:rsidP="00D354E4">
      <w:pPr>
        <w:pStyle w:val="Akapitzlist"/>
        <w:numPr>
          <w:ilvl w:val="0"/>
          <w:numId w:val="4"/>
        </w:numPr>
      </w:pPr>
      <w:r>
        <w:t xml:space="preserve">przygotujemy ramy procesu certyfikacji w PL/EU i wprowadzimy </w:t>
      </w:r>
      <w:r w:rsidRPr="00D354E4">
        <w:rPr>
          <w:b/>
          <w:bCs/>
        </w:rPr>
        <w:t>obowiązek stosowania produktów z odpowiednim certyfikatem</w:t>
      </w:r>
      <w:r>
        <w:t xml:space="preserve"> w Infrastrukturze Krytycznej i innych kluczowych podmiotach (w tym u kluczowych operatorów telekomunikacyjnych),</w:t>
      </w:r>
    </w:p>
    <w:p w:rsidR="00D354E4" w:rsidRDefault="00D354E4" w:rsidP="00D354E4">
      <w:pPr>
        <w:pStyle w:val="Akapitzlist"/>
        <w:numPr>
          <w:ilvl w:val="0"/>
          <w:numId w:val="4"/>
        </w:numPr>
      </w:pPr>
      <w:r>
        <w:t xml:space="preserve">wprowadzimy możliwość zastosowania </w:t>
      </w:r>
      <w:r w:rsidRPr="00D354E4">
        <w:rPr>
          <w:b/>
          <w:bCs/>
        </w:rPr>
        <w:t>prawa pierwokupu przez Skarb Państwa dla sprzedaży, najmu albo dzierżawy</w:t>
      </w:r>
      <w:r>
        <w:t xml:space="preserve"> podmiotów należących do Infrastruktury Krytycznej i innych kluczowych (patrz lista wyżej).</w:t>
      </w:r>
    </w:p>
    <w:sectPr w:rsidR="00D3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356D"/>
    <w:multiLevelType w:val="hybridMultilevel"/>
    <w:tmpl w:val="9A8C9A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AF09F6"/>
    <w:multiLevelType w:val="hybridMultilevel"/>
    <w:tmpl w:val="8BD28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54F8A"/>
    <w:multiLevelType w:val="hybridMultilevel"/>
    <w:tmpl w:val="F5546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565B8"/>
    <w:multiLevelType w:val="hybridMultilevel"/>
    <w:tmpl w:val="37482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E4"/>
    <w:rsid w:val="001F0FAA"/>
    <w:rsid w:val="004272F6"/>
    <w:rsid w:val="004A3E48"/>
    <w:rsid w:val="006F2C20"/>
    <w:rsid w:val="0082627D"/>
    <w:rsid w:val="00C316F6"/>
    <w:rsid w:val="00D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EA02-0E8A-4B16-8AB2-6DFBBF3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4E4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A3E4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4272F6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E48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2F6"/>
    <w:rPr>
      <w:rFonts w:eastAsiaTheme="majorEastAsia" w:cstheme="majorBidi"/>
      <w:b/>
      <w:sz w:val="26"/>
      <w:szCs w:val="26"/>
    </w:rPr>
  </w:style>
  <w:style w:type="paragraph" w:customStyle="1" w:styleId="adne">
    <w:name w:val="ładne"/>
    <w:basedOn w:val="Cytatintensywny"/>
    <w:link w:val="adneZnak"/>
    <w:autoRedefine/>
    <w:qFormat/>
    <w:rsid w:val="00C316F6"/>
    <w:pPr>
      <w:pBdr>
        <w:left w:val="nil"/>
        <w:right w:val="nil"/>
        <w:between w:val="nil"/>
        <w:bar w:val="nil"/>
      </w:pBdr>
      <w:spacing w:line="276" w:lineRule="auto"/>
      <w:jc w:val="both"/>
    </w:pPr>
    <w:rPr>
      <w:rFonts w:eastAsia="Calibri"/>
      <w:i w:val="0"/>
      <w:color w:val="C00000"/>
      <w:u w:color="000000"/>
      <w:bdr w:val="nil"/>
    </w:rPr>
  </w:style>
  <w:style w:type="character" w:customStyle="1" w:styleId="adneZnak">
    <w:name w:val="ładne Znak"/>
    <w:basedOn w:val="CytatintensywnyZnak"/>
    <w:link w:val="adne"/>
    <w:rsid w:val="00C316F6"/>
    <w:rPr>
      <w:rFonts w:ascii="Calibri" w:eastAsia="Calibri" w:hAnsi="Calibri" w:cs="Calibri"/>
      <w:i w:val="0"/>
      <w:iCs/>
      <w:color w:val="C00000"/>
      <w:u w:color="000000"/>
      <w:bdr w:val="ni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6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6F6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D3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Graczyk Kinga</dc:creator>
  <cp:keywords/>
  <dc:description/>
  <cp:lastModifiedBy>Graczyk Kinga</cp:lastModifiedBy>
  <cp:revision>1</cp:revision>
  <dcterms:created xsi:type="dcterms:W3CDTF">2019-07-16T13:13:00Z</dcterms:created>
  <dcterms:modified xsi:type="dcterms:W3CDTF">2019-07-16T13:20:00Z</dcterms:modified>
</cp:coreProperties>
</file>