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13" w:rsidRPr="00C214B4" w:rsidRDefault="00450B13" w:rsidP="00E43E55">
      <w:pPr>
        <w:jc w:val="both"/>
        <w:rPr>
          <w:sz w:val="24"/>
          <w:szCs w:val="24"/>
        </w:rPr>
      </w:pPr>
      <w:r w:rsidRPr="00C214B4">
        <w:rPr>
          <w:sz w:val="24"/>
          <w:szCs w:val="24"/>
        </w:rPr>
        <w:t xml:space="preserve">Najczęściej zadawane pytania do </w:t>
      </w:r>
      <w:r w:rsidRPr="00C214B4">
        <w:rPr>
          <w:i/>
          <w:sz w:val="24"/>
          <w:szCs w:val="24"/>
        </w:rPr>
        <w:t>Programu działań mających na celu zmniejszenie zanieczyszczenia wód azotanami pochodzącymi ze źródeł rolniczych oraz zapobieganie dalszemu zanieczyszczeniu</w:t>
      </w:r>
      <w:r w:rsidR="008D2778" w:rsidRPr="00C214B4">
        <w:rPr>
          <w:i/>
          <w:sz w:val="24"/>
          <w:szCs w:val="24"/>
        </w:rPr>
        <w:t xml:space="preserve"> (tzw. Programu azotanowego)</w:t>
      </w:r>
      <w:r w:rsidRPr="00C214B4">
        <w:rPr>
          <w:sz w:val="24"/>
          <w:szCs w:val="24"/>
        </w:rPr>
        <w:br/>
      </w:r>
    </w:p>
    <w:p w:rsidR="00E708EE" w:rsidRPr="00E43E55" w:rsidRDefault="00E708EE" w:rsidP="00A31EE9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E43E55">
        <w:rPr>
          <w:sz w:val="24"/>
          <w:szCs w:val="24"/>
        </w:rPr>
        <w:t>Stosowana terminologia</w:t>
      </w:r>
    </w:p>
    <w:p w:rsidR="00E708EE" w:rsidRPr="00E708EE" w:rsidRDefault="00E708EE" w:rsidP="00E43E55">
      <w:pPr>
        <w:jc w:val="both"/>
        <w:rPr>
          <w:b/>
        </w:rPr>
      </w:pPr>
      <w:r w:rsidRPr="00E708EE">
        <w:rPr>
          <w:b/>
        </w:rPr>
        <w:t>Czy stosowana w Programie azotanowym definicja nawozów naturalnych obejmuje również frakcję stałą gnojowicy po separacji?</w:t>
      </w:r>
    </w:p>
    <w:p w:rsidR="00E708EE" w:rsidRDefault="00E708EE" w:rsidP="00E43E55">
      <w:pPr>
        <w:jc w:val="both"/>
      </w:pPr>
      <w:r>
        <w:t xml:space="preserve">Tak, definicja nawozów naturalnych stosowana w Programie azotanowym obejmuje również nawóz naturalny w formie przetworzonej. </w:t>
      </w:r>
      <w:r w:rsidRPr="00E708EE">
        <w:t xml:space="preserve">Frakcja stała </w:t>
      </w:r>
      <w:r>
        <w:t xml:space="preserve">gnojowicy </w:t>
      </w:r>
      <w:r w:rsidRPr="00E708EE">
        <w:t>może być składowana na płytach, natomiast frakcja płynna magazynowana jest w zbiornikach.</w:t>
      </w:r>
    </w:p>
    <w:p w:rsidR="00E708EE" w:rsidRDefault="00E708EE" w:rsidP="00E43E55">
      <w:pPr>
        <w:jc w:val="both"/>
        <w:rPr>
          <w:b/>
        </w:rPr>
      </w:pPr>
      <w:r w:rsidRPr="00E708EE">
        <w:rPr>
          <w:b/>
        </w:rPr>
        <w:t xml:space="preserve">Czy obornik, gnojowica, </w:t>
      </w:r>
      <w:proofErr w:type="spellStart"/>
      <w:r w:rsidRPr="00E708EE">
        <w:rPr>
          <w:b/>
        </w:rPr>
        <w:t>poferment</w:t>
      </w:r>
      <w:proofErr w:type="spellEnd"/>
      <w:r w:rsidRPr="00E708EE">
        <w:rPr>
          <w:b/>
        </w:rPr>
        <w:t xml:space="preserve"> z biogazowni i inne nawozy </w:t>
      </w:r>
      <w:r w:rsidR="00506615">
        <w:rPr>
          <w:b/>
        </w:rPr>
        <w:t>organiczne można traktować jako nawozy wieloskładnikowe?</w:t>
      </w:r>
    </w:p>
    <w:p w:rsidR="00506615" w:rsidRDefault="00506615" w:rsidP="00E43E55">
      <w:pPr>
        <w:jc w:val="both"/>
      </w:pPr>
      <w:r>
        <w:t>N</w:t>
      </w:r>
      <w:r w:rsidRPr="00E60FB4">
        <w:t xml:space="preserve">awozy wieloskładnikowe </w:t>
      </w:r>
      <w:r>
        <w:t xml:space="preserve">to nawozy </w:t>
      </w:r>
      <w:r w:rsidRPr="00E60FB4">
        <w:t>zawierają</w:t>
      </w:r>
      <w:r>
        <w:t>ce</w:t>
      </w:r>
      <w:r w:rsidRPr="00E60FB4">
        <w:t xml:space="preserve"> co najmniej dwa składniki pokarmowe, tj. N, P, K, Ca, czy</w:t>
      </w:r>
      <w:r>
        <w:t xml:space="preserve"> też Mg, </w:t>
      </w:r>
      <w:r>
        <w:t>t</w:t>
      </w:r>
      <w:r>
        <w:t>ak więc</w:t>
      </w:r>
      <w:r w:rsidRPr="00E60FB4">
        <w:t xml:space="preserve"> termin „nawozy wieloskładnikowe” odnosi się </w:t>
      </w:r>
      <w:r>
        <w:t xml:space="preserve">również </w:t>
      </w:r>
      <w:r w:rsidRPr="00E60FB4">
        <w:t xml:space="preserve">do </w:t>
      </w:r>
      <w:r>
        <w:t>nawozów naturalnych</w:t>
      </w:r>
      <w:r>
        <w:t xml:space="preserve"> i organicznych</w:t>
      </w:r>
      <w:r w:rsidRPr="00E60FB4">
        <w:t>.</w:t>
      </w:r>
    </w:p>
    <w:p w:rsidR="00715060" w:rsidRPr="00E708EE" w:rsidRDefault="00715060" w:rsidP="00E43E55">
      <w:pPr>
        <w:jc w:val="both"/>
        <w:rPr>
          <w:b/>
        </w:rPr>
      </w:pPr>
    </w:p>
    <w:p w:rsidR="00BF21C9" w:rsidRPr="00E43E55" w:rsidRDefault="00450B13" w:rsidP="00A31EE9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E43E55">
        <w:rPr>
          <w:sz w:val="24"/>
          <w:szCs w:val="24"/>
        </w:rPr>
        <w:t>Ograniczenie rolniczego wykorzystania nawozów</w:t>
      </w:r>
    </w:p>
    <w:p w:rsidR="00AD5A58" w:rsidRPr="00E43E55" w:rsidRDefault="00C214B4" w:rsidP="00E43E55">
      <w:pPr>
        <w:jc w:val="both"/>
        <w:rPr>
          <w:rFonts w:cstheme="minorHAnsi"/>
          <w:b/>
        </w:rPr>
      </w:pPr>
      <w:r w:rsidRPr="00E43E55">
        <w:rPr>
          <w:rFonts w:cstheme="minorHAnsi"/>
          <w:b/>
        </w:rPr>
        <w:t xml:space="preserve">Czy węże wleczone można uznać za urządzenia aplikujące nawóz bezpośrednio do gleby, pozwalające na zmniejszenie </w:t>
      </w:r>
      <w:r w:rsidR="00E43E55" w:rsidRPr="00E43E55">
        <w:rPr>
          <w:rFonts w:cstheme="minorHAnsi"/>
          <w:b/>
        </w:rPr>
        <w:t>odległości, w jakich nie stosuje się nawozów w pobliżu wód?</w:t>
      </w:r>
    </w:p>
    <w:p w:rsidR="00E43E55" w:rsidRDefault="00E43E55" w:rsidP="00E43E55">
      <w:pPr>
        <w:jc w:val="both"/>
        <w:rPr>
          <w:rFonts w:cstheme="minorHAnsi"/>
        </w:rPr>
      </w:pPr>
      <w:r>
        <w:rPr>
          <w:rFonts w:cstheme="minorHAnsi"/>
        </w:rPr>
        <w:t>Tak, stosując węże wleczone można zmniejszyć odległości określone w tabeli 1 Programu azotanowego o połowę.</w:t>
      </w:r>
    </w:p>
    <w:p w:rsidR="00715060" w:rsidRPr="00981F81" w:rsidRDefault="00715060" w:rsidP="00E43E55">
      <w:pPr>
        <w:jc w:val="both"/>
        <w:rPr>
          <w:rFonts w:cstheme="minorHAnsi"/>
        </w:rPr>
      </w:pPr>
    </w:p>
    <w:p w:rsidR="00450B13" w:rsidRPr="006C6B44" w:rsidRDefault="00450B13" w:rsidP="00A31EE9">
      <w:pPr>
        <w:pStyle w:val="Akapitzlist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6C6B44">
        <w:rPr>
          <w:rFonts w:cstheme="minorHAnsi"/>
          <w:sz w:val="24"/>
          <w:szCs w:val="24"/>
        </w:rPr>
        <w:t>Okresy nawożenia</w:t>
      </w:r>
    </w:p>
    <w:p w:rsidR="0045465E" w:rsidRPr="00981F81" w:rsidRDefault="0045465E" w:rsidP="00E43E55">
      <w:pPr>
        <w:jc w:val="both"/>
        <w:rPr>
          <w:rFonts w:cstheme="minorHAnsi"/>
          <w:b/>
        </w:rPr>
      </w:pPr>
      <w:r w:rsidRPr="00981F81">
        <w:rPr>
          <w:rFonts w:cstheme="minorHAnsi"/>
          <w:b/>
        </w:rPr>
        <w:t xml:space="preserve">W jakich terminach można stosować nawozy organiczne takie jak </w:t>
      </w:r>
      <w:proofErr w:type="spellStart"/>
      <w:r w:rsidRPr="00981F81">
        <w:rPr>
          <w:rFonts w:cstheme="minorHAnsi"/>
          <w:b/>
        </w:rPr>
        <w:t>poferment</w:t>
      </w:r>
      <w:proofErr w:type="spellEnd"/>
      <w:r w:rsidRPr="00981F81">
        <w:rPr>
          <w:rFonts w:cstheme="minorHAnsi"/>
          <w:b/>
        </w:rPr>
        <w:t xml:space="preserve"> z biogazowni</w:t>
      </w:r>
      <w:r w:rsidR="00981F81" w:rsidRPr="00981F81">
        <w:rPr>
          <w:rFonts w:cstheme="minorHAnsi"/>
          <w:b/>
        </w:rPr>
        <w:t xml:space="preserve"> lub odpady poddawane obróbce w procesie odzysku R10</w:t>
      </w:r>
      <w:r w:rsidRPr="00981F81">
        <w:rPr>
          <w:rFonts w:cstheme="minorHAnsi"/>
          <w:b/>
        </w:rPr>
        <w:t>?</w:t>
      </w:r>
    </w:p>
    <w:p w:rsidR="00A27262" w:rsidRPr="00981F81" w:rsidRDefault="00981F81" w:rsidP="00E43E55">
      <w:pPr>
        <w:jc w:val="both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>T</w:t>
      </w:r>
      <w:r w:rsidRPr="00981F81">
        <w:rPr>
          <w:rFonts w:eastAsia="Times New Roman" w:cstheme="minorHAnsi"/>
          <w:lang w:eastAsia="pl-PL"/>
        </w:rPr>
        <w:t xml:space="preserve">erminy stosowania nawozów zawarte w tabeli 2 Programu azotanowego dotyczą nawozów naturalnych (obornik, gnojówka, gnojowica, pomiot ptasi) oraz nawozów azotowych mineralnych. </w:t>
      </w:r>
      <w:r>
        <w:rPr>
          <w:rFonts w:eastAsia="Times New Roman" w:cstheme="minorHAnsi"/>
          <w:lang w:eastAsia="pl-PL"/>
        </w:rPr>
        <w:t xml:space="preserve">Terminów określonych </w:t>
      </w:r>
      <w:r w:rsidRPr="00981F81">
        <w:rPr>
          <w:rFonts w:eastAsia="Times New Roman" w:cstheme="minorHAnsi"/>
          <w:lang w:eastAsia="pl-PL"/>
        </w:rPr>
        <w:t>w tabeli 2 nie stosuje się do innych nawozów niż wyżej wymienione np. nawozów organicznych lub odpadów poddawanych obróbce w procesie odzysku R10. Jednocześnie n</w:t>
      </w:r>
      <w:r>
        <w:rPr>
          <w:rFonts w:eastAsia="Times New Roman" w:cstheme="minorHAnsi"/>
          <w:lang w:eastAsia="pl-PL"/>
        </w:rPr>
        <w:t xml:space="preserve">ależy pamiętać, że </w:t>
      </w:r>
      <w:r w:rsidRPr="00981F81">
        <w:rPr>
          <w:rFonts w:eastAsia="Times New Roman" w:cstheme="minorHAnsi"/>
          <w:lang w:eastAsia="pl-PL"/>
        </w:rPr>
        <w:t xml:space="preserve">w przypadku stosowania wszystkich substancji wpisujących się w definicję nawozu określoną w </w:t>
      </w:r>
      <w:r>
        <w:rPr>
          <w:rFonts w:eastAsia="Times New Roman" w:cstheme="minorHAnsi"/>
          <w:lang w:eastAsia="pl-PL"/>
        </w:rPr>
        <w:t>ustawie</w:t>
      </w:r>
      <w:r w:rsidRPr="00981F81">
        <w:rPr>
          <w:rFonts w:eastAsia="Times New Roman" w:cstheme="minorHAnsi"/>
          <w:lang w:eastAsia="pl-PL"/>
        </w:rPr>
        <w:t xml:space="preserve"> Prawo wodne </w:t>
      </w:r>
      <w:r>
        <w:rPr>
          <w:rFonts w:eastAsia="Times New Roman" w:cstheme="minorHAnsi"/>
          <w:lang w:eastAsia="pl-PL"/>
        </w:rPr>
        <w:t xml:space="preserve">(każda substancja zawierająca </w:t>
      </w:r>
      <w:r w:rsidR="00FD2267">
        <w:rPr>
          <w:rFonts w:eastAsia="Times New Roman" w:cstheme="minorHAnsi"/>
          <w:lang w:eastAsia="pl-PL"/>
        </w:rPr>
        <w:t>związek azotu lub związki azotu rolniczo wykorzystywana w celu zwiększenia wzrostu roślinności, a także odchody zwierzęce, pozostałości z gospodarstw rybackich oraz osady ściekowe</w:t>
      </w:r>
      <w:r>
        <w:rPr>
          <w:rFonts w:eastAsia="Times New Roman" w:cstheme="minorHAnsi"/>
          <w:lang w:eastAsia="pl-PL"/>
        </w:rPr>
        <w:t xml:space="preserve">) </w:t>
      </w:r>
      <w:r w:rsidRPr="00981F81">
        <w:rPr>
          <w:rFonts w:eastAsia="Times New Roman" w:cstheme="minorHAnsi"/>
          <w:lang w:eastAsia="pl-PL"/>
        </w:rPr>
        <w:t>należy przestrzegać innych przepisów Programu azotanowego odnoszących się do nawozów, np. zakaz</w:t>
      </w:r>
      <w:r w:rsidR="00A31EE9">
        <w:rPr>
          <w:rFonts w:eastAsia="Times New Roman" w:cstheme="minorHAnsi"/>
          <w:lang w:eastAsia="pl-PL"/>
        </w:rPr>
        <w:t>u</w:t>
      </w:r>
      <w:r w:rsidRPr="00981F81">
        <w:rPr>
          <w:rFonts w:eastAsia="Times New Roman" w:cstheme="minorHAnsi"/>
          <w:lang w:eastAsia="pl-PL"/>
        </w:rPr>
        <w:t xml:space="preserve"> stosowania nawozów na glebach zamarzniętych, zalanych wodą, nasyconych wodą lub przykrytych śniegiem, wynikając</w:t>
      </w:r>
      <w:r w:rsidR="00A31EE9">
        <w:rPr>
          <w:rFonts w:eastAsia="Times New Roman" w:cstheme="minorHAnsi"/>
          <w:lang w:eastAsia="pl-PL"/>
        </w:rPr>
        <w:t>ego</w:t>
      </w:r>
      <w:r w:rsidRPr="00981F81">
        <w:rPr>
          <w:rFonts w:eastAsia="Times New Roman" w:cstheme="minorHAnsi"/>
          <w:lang w:eastAsia="pl-PL"/>
        </w:rPr>
        <w:t xml:space="preserve"> z art. 20 ust. 1 pkt 1 i ust. 3 ustawy z dnia 10 lipca 2007 r</w:t>
      </w:r>
      <w:r w:rsidR="00A31EE9">
        <w:rPr>
          <w:rFonts w:eastAsia="Times New Roman" w:cstheme="minorHAnsi"/>
          <w:lang w:eastAsia="pl-PL"/>
        </w:rPr>
        <w:t>.</w:t>
      </w:r>
      <w:r w:rsidRPr="00981F81">
        <w:rPr>
          <w:rFonts w:eastAsia="Times New Roman" w:cstheme="minorHAnsi"/>
          <w:lang w:eastAsia="pl-PL"/>
        </w:rPr>
        <w:t xml:space="preserve"> o nawozach i nawożeniu.</w:t>
      </w:r>
    </w:p>
    <w:p w:rsidR="00A27262" w:rsidRPr="00682B1D" w:rsidRDefault="00A27262" w:rsidP="00E43E55">
      <w:pPr>
        <w:jc w:val="both"/>
        <w:rPr>
          <w:rFonts w:cstheme="minorHAnsi"/>
          <w:b/>
        </w:rPr>
      </w:pPr>
      <w:r w:rsidRPr="00682B1D">
        <w:rPr>
          <w:rFonts w:cstheme="minorHAnsi"/>
          <w:b/>
        </w:rPr>
        <w:t>W jakich sytuacjach można wydłużyć termin stosowania nawozów do 30 listopada?</w:t>
      </w:r>
    </w:p>
    <w:p w:rsidR="002158BD" w:rsidRDefault="00682B1D" w:rsidP="00E43E55">
      <w:pPr>
        <w:jc w:val="both"/>
        <w:rPr>
          <w:rFonts w:cstheme="minorHAnsi"/>
        </w:rPr>
      </w:pPr>
      <w:r w:rsidRPr="00682B1D">
        <w:rPr>
          <w:rFonts w:cstheme="minorHAnsi"/>
        </w:rPr>
        <w:t xml:space="preserve">30 listopada to termin graniczny </w:t>
      </w:r>
      <w:r w:rsidR="00A31EE9">
        <w:rPr>
          <w:rFonts w:cstheme="minorHAnsi"/>
        </w:rPr>
        <w:t xml:space="preserve">stosowania nawozów </w:t>
      </w:r>
      <w:r w:rsidRPr="00682B1D">
        <w:rPr>
          <w:rFonts w:cstheme="minorHAnsi"/>
        </w:rPr>
        <w:t>dla podmiotów</w:t>
      </w:r>
      <w:r>
        <w:rPr>
          <w:rFonts w:cstheme="minorHAnsi"/>
        </w:rPr>
        <w:t xml:space="preserve">, które nie mogły </w:t>
      </w:r>
      <w:r w:rsidRPr="00682B1D">
        <w:rPr>
          <w:rFonts w:cstheme="minorHAnsi"/>
        </w:rPr>
        <w:t>dokonać zbiorów lub nawożenia z uwagi na niekorzystne warunki pogodowe</w:t>
      </w:r>
      <w:r>
        <w:rPr>
          <w:rFonts w:cstheme="minorHAnsi"/>
        </w:rPr>
        <w:t xml:space="preserve">. Zapis ten odnosi się </w:t>
      </w:r>
      <w:r w:rsidR="00460415" w:rsidRPr="00460415">
        <w:rPr>
          <w:rFonts w:cstheme="minorHAnsi"/>
        </w:rPr>
        <w:t xml:space="preserve">zarówno do </w:t>
      </w:r>
      <w:r w:rsidR="00460415" w:rsidRPr="00460415">
        <w:rPr>
          <w:rFonts w:cstheme="minorHAnsi"/>
        </w:rPr>
        <w:lastRenderedPageBreak/>
        <w:t>zjawisk takich jak nadmierne uwilgotnienie gleb, jak również do występowania suszy rolniczej. Biorąc pod uwagę, że suszą rolniczą jest „okres, w którym wilgotność gleby jest niedostateczna do zaspokojenia potrzeb wodnych roślin i prowadzenia normalnej gospodarki w rolnictwie”, należy pamiętać, że wystąpienie tego zjawiska zależy nie tylko od lokalnych warunków klimatycznych (opady i temperatura), ale również od cech geomorfologicznych danej zlewni. Istotne znaczenie ma również rodzaj uprawy, ponieważ poszczególne gatunki roślin reagują różnie na konkretne warunki klimatyczno-glebowe.</w:t>
      </w:r>
    </w:p>
    <w:p w:rsidR="00460415" w:rsidRDefault="00460415" w:rsidP="00E43E55">
      <w:pPr>
        <w:jc w:val="both"/>
        <w:rPr>
          <w:rFonts w:cstheme="minorHAnsi"/>
        </w:rPr>
      </w:pPr>
      <w:r w:rsidRPr="00460415">
        <w:rPr>
          <w:rFonts w:cstheme="minorHAnsi"/>
        </w:rPr>
        <w:t>Zatem niekorzystne warunki pogodowe odnoszą się również do występowania suszy rolniczej oraz innych zdarzeń pogodowych (np. deszcz nawalny), które najczęściej występują lokalnie. W tej sytuacji, producent rolny powinien samodzielnie ocenić, uwzględniając panujące warunki pogodowe, możliwość dokonania jesiennego zbioru i zastosowania nawożenia, jednak nie później niż do końca listopada. Natomiast podczas lat o zwyczajowo panujących warunkach pogodowych jesienią należy dotrzymać terminów określonych w programie azotanowym.</w:t>
      </w:r>
    </w:p>
    <w:p w:rsidR="00715060" w:rsidRPr="00682B1D" w:rsidRDefault="00715060" w:rsidP="00E43E55">
      <w:pPr>
        <w:jc w:val="both"/>
        <w:rPr>
          <w:rFonts w:cstheme="minorHAnsi"/>
        </w:rPr>
      </w:pPr>
    </w:p>
    <w:p w:rsidR="00450B13" w:rsidRPr="006C6B44" w:rsidRDefault="00450B13" w:rsidP="00A31EE9">
      <w:pPr>
        <w:pStyle w:val="Akapitzlist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6C6B44">
        <w:rPr>
          <w:rFonts w:cstheme="minorHAnsi"/>
          <w:sz w:val="24"/>
          <w:szCs w:val="24"/>
        </w:rPr>
        <w:t>Warunki przechowywania nawozów naturalnych oraz postępowanie z odciekami</w:t>
      </w:r>
    </w:p>
    <w:p w:rsidR="00AD5A58" w:rsidRPr="006C6B44" w:rsidRDefault="00AD5A58" w:rsidP="00E43E55">
      <w:pPr>
        <w:jc w:val="both"/>
        <w:rPr>
          <w:rFonts w:cstheme="minorHAnsi"/>
          <w:b/>
        </w:rPr>
      </w:pPr>
      <w:r w:rsidRPr="006C6B44">
        <w:rPr>
          <w:rFonts w:cstheme="minorHAnsi"/>
          <w:b/>
        </w:rPr>
        <w:t>Czy konieczne jest posiadanie płyty obornikowej w przypadku, gdy rolnik przechowuje obornik na pryzmach bezpośrednio na gruncie, spełniając warunek przechowywania ich nie dłużej niż przez okres 6 m-</w:t>
      </w:r>
      <w:proofErr w:type="spellStart"/>
      <w:r w:rsidRPr="006C6B44">
        <w:rPr>
          <w:rFonts w:cstheme="minorHAnsi"/>
          <w:b/>
        </w:rPr>
        <w:t>cy</w:t>
      </w:r>
      <w:proofErr w:type="spellEnd"/>
      <w:r w:rsidRPr="006C6B44">
        <w:rPr>
          <w:rFonts w:cstheme="minorHAnsi"/>
          <w:b/>
        </w:rPr>
        <w:t xml:space="preserve"> dla każdej z pryzm?</w:t>
      </w:r>
    </w:p>
    <w:p w:rsidR="00FD2267" w:rsidRPr="006C6B44" w:rsidRDefault="006C6B44" w:rsidP="00E43E55">
      <w:pPr>
        <w:jc w:val="both"/>
        <w:rPr>
          <w:rFonts w:cstheme="minorHAnsi"/>
        </w:rPr>
      </w:pPr>
      <w:r w:rsidRPr="006C6B44">
        <w:rPr>
          <w:rFonts w:cstheme="minorHAnsi"/>
        </w:rPr>
        <w:t>Możliwość czasowego przechowywania obornika bezpośrednio na gruncie została przewidziana dla usprawnienia pracy gospodarstwa przy nawożeniu, więc nie powinna być wykorzystywana w zwykłym trybie przechowywania tego nawozu.</w:t>
      </w:r>
    </w:p>
    <w:p w:rsidR="00460415" w:rsidRDefault="00460415" w:rsidP="00E43E55">
      <w:pPr>
        <w:jc w:val="both"/>
        <w:rPr>
          <w:rFonts w:cstheme="minorHAnsi"/>
          <w:b/>
        </w:rPr>
      </w:pPr>
      <w:r>
        <w:rPr>
          <w:rFonts w:cstheme="minorHAnsi"/>
          <w:b/>
        </w:rPr>
        <w:t>Czy zapisy dotyczące możliwości czasowego przechowywania obornika bezpośrednio na gruntach rolnych (rozdz. 1.4 ust. 7 Programu) mogą być stosowane również do frakcji stałej gnojowicy (po separacji)?</w:t>
      </w:r>
    </w:p>
    <w:p w:rsidR="00460415" w:rsidRPr="000D0350" w:rsidRDefault="00460415" w:rsidP="00E43E55">
      <w:pPr>
        <w:jc w:val="both"/>
        <w:rPr>
          <w:rFonts w:cstheme="minorHAnsi"/>
        </w:rPr>
      </w:pPr>
      <w:r w:rsidRPr="00460415">
        <w:rPr>
          <w:rFonts w:cstheme="minorHAnsi"/>
        </w:rPr>
        <w:t xml:space="preserve">Tak, </w:t>
      </w:r>
      <w:r w:rsidRPr="00460415">
        <w:rPr>
          <w:rFonts w:cstheme="minorHAnsi"/>
        </w:rPr>
        <w:t>przepisy rozdziału 1.4 ust. 7 Programu azotanowego mog</w:t>
      </w:r>
      <w:r w:rsidRPr="00460415">
        <w:rPr>
          <w:rFonts w:cstheme="minorHAnsi"/>
        </w:rPr>
        <w:t>ą</w:t>
      </w:r>
      <w:r w:rsidRPr="00460415">
        <w:rPr>
          <w:rFonts w:cstheme="minorHAnsi"/>
        </w:rPr>
        <w:t xml:space="preserve"> być stosowane także do frakcji stałej odseparowanej z gnojowicy, przy</w:t>
      </w:r>
      <w:r w:rsidRPr="00460415">
        <w:rPr>
          <w:rFonts w:cstheme="minorHAnsi"/>
        </w:rPr>
        <w:t xml:space="preserve"> czym zawartości stałej frakcji </w:t>
      </w:r>
      <w:r w:rsidRPr="00460415">
        <w:rPr>
          <w:rFonts w:cstheme="minorHAnsi"/>
        </w:rPr>
        <w:t>w momencie złożenia na gruncie nie powinna być mniejsza niż 75%.</w:t>
      </w:r>
    </w:p>
    <w:p w:rsidR="00FD2267" w:rsidRPr="00FD2267" w:rsidRDefault="00FA2725" w:rsidP="00E43E55">
      <w:pPr>
        <w:jc w:val="both"/>
        <w:rPr>
          <w:rFonts w:cstheme="minorHAnsi"/>
          <w:b/>
        </w:rPr>
      </w:pPr>
      <w:r>
        <w:rPr>
          <w:rFonts w:cstheme="minorHAnsi"/>
          <w:b/>
        </w:rPr>
        <w:t>Czy przygotowując miejsce do przechowywania nawozów naturalnych stałych trzeba budować betonową płytę obornikową?</w:t>
      </w:r>
    </w:p>
    <w:p w:rsidR="00FD2267" w:rsidRDefault="001E4D8F" w:rsidP="00E43E55">
      <w:pPr>
        <w:jc w:val="both"/>
        <w:rPr>
          <w:rFonts w:cstheme="minorHAnsi"/>
        </w:rPr>
      </w:pPr>
      <w:r w:rsidRPr="001E4D8F">
        <w:rPr>
          <w:rFonts w:cstheme="minorHAnsi"/>
        </w:rPr>
        <w:t>Definicja miejsc do przechowywania nawozów naturalnych wprowadzona w Program</w:t>
      </w:r>
      <w:r>
        <w:rPr>
          <w:rFonts w:cstheme="minorHAnsi"/>
        </w:rPr>
        <w:t>ie</w:t>
      </w:r>
      <w:r w:rsidRPr="001E4D8F">
        <w:rPr>
          <w:rFonts w:cstheme="minorHAnsi"/>
        </w:rPr>
        <w:t xml:space="preserve"> azotanow</w:t>
      </w:r>
      <w:r>
        <w:rPr>
          <w:rFonts w:cstheme="minorHAnsi"/>
        </w:rPr>
        <w:t>ym</w:t>
      </w:r>
      <w:r w:rsidRPr="001E4D8F">
        <w:rPr>
          <w:rFonts w:cstheme="minorHAnsi"/>
        </w:rPr>
        <w:t xml:space="preserve"> nie narzuca materiałów, jakie powinny zostać wykorzystane do przygotowania takich miejsc. </w:t>
      </w:r>
      <w:r>
        <w:rPr>
          <w:rFonts w:cstheme="minorHAnsi"/>
        </w:rPr>
        <w:t xml:space="preserve">Do ich przygotowania mogą być wykorzystane poza tradycyjnymi materiałami, jak na przykład beton, również inne materiały, np. odpowiednie tworzywa sztuczne lub wzmocniona folia. </w:t>
      </w:r>
      <w:r w:rsidRPr="001E4D8F">
        <w:rPr>
          <w:rFonts w:cstheme="minorHAnsi"/>
        </w:rPr>
        <w:t>Muszą one jednak spełniać warunek szczelności i nieprzepuszczalności w celu zabezpieczenia przed przedostawaniem się odcieków do wód lub gruntu.</w:t>
      </w:r>
      <w:r>
        <w:rPr>
          <w:rFonts w:cstheme="minorHAnsi"/>
        </w:rPr>
        <w:t xml:space="preserve"> Przykłady konstrukcji do przechowywania naturalnych nawozów stałych zostały opisane w Zbiorze zaleceń dobrej praktyki rolniczej przygotowanym przez Ministerstwo Rolnictwa i Rozwoju Wsi.</w:t>
      </w:r>
    </w:p>
    <w:p w:rsidR="00510FAB" w:rsidRPr="00F063DC" w:rsidRDefault="00510FAB" w:rsidP="00E43E55">
      <w:pPr>
        <w:jc w:val="both"/>
        <w:rPr>
          <w:rFonts w:cstheme="minorHAnsi"/>
          <w:b/>
        </w:rPr>
      </w:pPr>
      <w:r w:rsidRPr="00F063DC">
        <w:rPr>
          <w:rFonts w:cstheme="minorHAnsi"/>
          <w:b/>
        </w:rPr>
        <w:t xml:space="preserve">Czy gospodarstwo rolne, w którym nie prowadzi się produkcji zwierzęcej, a obornik do nawożenia pól </w:t>
      </w:r>
      <w:r w:rsidR="00F063DC" w:rsidRPr="00F063DC">
        <w:rPr>
          <w:rFonts w:cstheme="minorHAnsi"/>
          <w:b/>
        </w:rPr>
        <w:t>nabywa się na podstawie umowy nie wcześniej niż 6 miesięcy przed datą nawożenia</w:t>
      </w:r>
      <w:r w:rsidR="00715060">
        <w:rPr>
          <w:rFonts w:cstheme="minorHAnsi"/>
          <w:b/>
        </w:rPr>
        <w:t>,</w:t>
      </w:r>
      <w:r w:rsidR="00F063DC" w:rsidRPr="00F063DC">
        <w:rPr>
          <w:rFonts w:cstheme="minorHAnsi"/>
          <w:b/>
        </w:rPr>
        <w:t xml:space="preserve"> ma obowiązek budowy płyty obornikowej?</w:t>
      </w:r>
    </w:p>
    <w:p w:rsidR="00F063DC" w:rsidRDefault="00F063DC" w:rsidP="00E43E55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Pr="00F063DC">
        <w:rPr>
          <w:rFonts w:cstheme="minorHAnsi"/>
        </w:rPr>
        <w:t xml:space="preserve"> sytuacji  przyjmowa</w:t>
      </w:r>
      <w:r>
        <w:rPr>
          <w:rFonts w:cstheme="minorHAnsi"/>
        </w:rPr>
        <w:t>nia nawozów od innych podmiotów p</w:t>
      </w:r>
      <w:r w:rsidRPr="00F063DC">
        <w:rPr>
          <w:rFonts w:cstheme="minorHAnsi"/>
        </w:rPr>
        <w:t xml:space="preserve">rzepisy Programu azotanowego </w:t>
      </w:r>
      <w:r>
        <w:rPr>
          <w:rFonts w:cstheme="minorHAnsi"/>
        </w:rPr>
        <w:t>(rozdział</w:t>
      </w:r>
      <w:r w:rsidRPr="00F063DC">
        <w:rPr>
          <w:rFonts w:cstheme="minorHAnsi"/>
        </w:rPr>
        <w:t xml:space="preserve"> 1.4 ust. 12</w:t>
      </w:r>
      <w:r>
        <w:rPr>
          <w:rFonts w:cstheme="minorHAnsi"/>
        </w:rPr>
        <w:t>)</w:t>
      </w:r>
      <w:r w:rsidRPr="00F063DC">
        <w:rPr>
          <w:rFonts w:cstheme="minorHAnsi"/>
        </w:rPr>
        <w:t xml:space="preserve"> wskazują na konieczność podjęcia działań lub </w:t>
      </w:r>
      <w:proofErr w:type="spellStart"/>
      <w:r w:rsidRPr="00F063DC">
        <w:rPr>
          <w:rFonts w:cstheme="minorHAnsi"/>
        </w:rPr>
        <w:t>zachowań</w:t>
      </w:r>
      <w:proofErr w:type="spellEnd"/>
      <w:r w:rsidRPr="00F063DC">
        <w:rPr>
          <w:rFonts w:cstheme="minorHAnsi"/>
        </w:rPr>
        <w:t xml:space="preserve"> związanych z przygotowaniem </w:t>
      </w:r>
      <w:r w:rsidRPr="00F063DC">
        <w:rPr>
          <w:rFonts w:cstheme="minorHAnsi"/>
        </w:rPr>
        <w:lastRenderedPageBreak/>
        <w:t>miejsca do prz</w:t>
      </w:r>
      <w:r>
        <w:rPr>
          <w:rFonts w:cstheme="minorHAnsi"/>
        </w:rPr>
        <w:t xml:space="preserve">echowywania nawozów naturalnych </w:t>
      </w:r>
      <w:r w:rsidRPr="00F063DC">
        <w:rPr>
          <w:rFonts w:cstheme="minorHAnsi"/>
        </w:rPr>
        <w:t xml:space="preserve">w sposób zapobiegający przedostawaniu się odcieków </w:t>
      </w:r>
      <w:r w:rsidR="008A0129">
        <w:rPr>
          <w:rFonts w:cstheme="minorHAnsi"/>
        </w:rPr>
        <w:t xml:space="preserve">do wód i gruntu. </w:t>
      </w:r>
      <w:r w:rsidRPr="00F063DC">
        <w:rPr>
          <w:rFonts w:cstheme="minorHAnsi"/>
        </w:rPr>
        <w:t>Należy jednocześnie podkreślić, że ww. przepisy nie określają szczegółowego postępowania oraz nie określają zakazów ani nakazów, które powodowałyby niewypełnienie albo wypełnienie tej normy.</w:t>
      </w:r>
      <w:r w:rsidR="008A0129">
        <w:rPr>
          <w:rFonts w:cstheme="minorHAnsi"/>
        </w:rPr>
        <w:t xml:space="preserve"> Przygotowane w tym celu miejsca do przechowywania nawozów nie muszą mieć konstrukcji betonowej, trwale związanej z gruntem, ale powinny </w:t>
      </w:r>
      <w:r w:rsidR="008A0129" w:rsidRPr="001E4D8F">
        <w:rPr>
          <w:rFonts w:cstheme="minorHAnsi"/>
        </w:rPr>
        <w:t>spełniać warunek szczelności i nieprzepuszczalności w celu zabezpieczenia</w:t>
      </w:r>
      <w:r w:rsidR="008A0129">
        <w:rPr>
          <w:rFonts w:cstheme="minorHAnsi"/>
        </w:rPr>
        <w:t xml:space="preserve"> środowiska glebowego i wodnego przed odciekami.</w:t>
      </w:r>
    </w:p>
    <w:p w:rsidR="00510FAB" w:rsidRPr="001E4D8F" w:rsidRDefault="00510FAB" w:rsidP="00E43E55">
      <w:pPr>
        <w:jc w:val="both"/>
        <w:rPr>
          <w:rFonts w:cstheme="minorHAnsi"/>
          <w:b/>
        </w:rPr>
      </w:pPr>
    </w:p>
    <w:p w:rsidR="00450B13" w:rsidRPr="006C6B44" w:rsidRDefault="00450B13" w:rsidP="00715060">
      <w:pPr>
        <w:pStyle w:val="Akapitzlist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6C6B44">
        <w:rPr>
          <w:rFonts w:cstheme="minorHAnsi"/>
          <w:sz w:val="24"/>
          <w:szCs w:val="24"/>
        </w:rPr>
        <w:t>Dawki i sposoby nawożenia azotem</w:t>
      </w:r>
    </w:p>
    <w:p w:rsidR="007648D4" w:rsidRDefault="007648D4" w:rsidP="00E43E55">
      <w:pPr>
        <w:jc w:val="both"/>
        <w:rPr>
          <w:b/>
        </w:rPr>
      </w:pPr>
      <w:r>
        <w:rPr>
          <w:b/>
        </w:rPr>
        <w:t>Czy wszystkie podmioty prowadzące produkcję rolną mają obowiązek opracowania planu nawożenia azotem na podstawie wykonanego badania gleb</w:t>
      </w:r>
      <w:r w:rsidR="00E830BE">
        <w:rPr>
          <w:b/>
        </w:rPr>
        <w:t>? Czy wszystkie podmioty prowadzące produkcję rolną mają obowiązek</w:t>
      </w:r>
      <w:r>
        <w:rPr>
          <w:b/>
        </w:rPr>
        <w:t xml:space="preserve"> uzyskania pozytywnej opinii okręgowej stacji chemiczno-rolniczej oraz doręczenia wójtowi (burmistrzowi, prezydentowi miasta) kopii planu z pozytywną opinią stacji chemiczno-rolniczej?</w:t>
      </w:r>
    </w:p>
    <w:p w:rsidR="00EE1D22" w:rsidRDefault="00EE1D22" w:rsidP="00E43E55">
      <w:pPr>
        <w:jc w:val="both"/>
      </w:pPr>
      <w:r w:rsidRPr="00EE1D22">
        <w:t xml:space="preserve">Nie, tylko </w:t>
      </w:r>
      <w:r>
        <w:t>podmioty tzw. wielkotowarowe, czyli prowadzące chów lub hodowlę drobiu powyżej 40 000 stanowisk lub chów lub hodowlę świń powyżej 2 000 stanowisk dla świń o wadze ponad 30 kg lub 750 stanowisk dla macior, mają obowiązek opracowania planu na podstawie składu chemicznego nawozów oraz potrzeb pokarmowych roślin i zasobności gleb, uzyskują pozytywną opinię okręgowej stacji chemiczno-rolniczej, a następnie doręczają wójtowi (</w:t>
      </w:r>
      <w:r w:rsidRPr="00EE1D22">
        <w:t>burmistrzowi, prezydentowi miasta</w:t>
      </w:r>
      <w:r>
        <w:t>) kopię tego planu wraz z pozytywną opinią stacji chemiczno-rolniczej.</w:t>
      </w:r>
    </w:p>
    <w:p w:rsidR="00EE1D22" w:rsidRPr="00EE1D22" w:rsidRDefault="0068718D" w:rsidP="00E43E55">
      <w:pPr>
        <w:jc w:val="both"/>
      </w:pPr>
      <w:r>
        <w:t xml:space="preserve">Podmioty nie kwalifikujące się do podmiotów wielkotowarowych, ale posiadający gospodarstwo rolne o powierzchni powyżej 100 ha użytków rolnych, lub uprawiający uprawy intensywne na gruntach ornych o powierzchni powyżej 50 ha lub utrzymujący obsadę większą niż 60 DJP wg stanu średniorocznego opracowują plan nawożenia azotem </w:t>
      </w:r>
      <w:r w:rsidRPr="0068718D">
        <w:t>z uwzględnieniem sposobu obliczania dawki nawozów azotowych mineralnych – uproszczonego bilansu azotu, który został określony w załączniku nr 8 do Programu, albo przy zastosowaniu programu nawozowego obejmującego wymagania dla uproszczonego bilansu azotu określonego w załączniku nr 8 do Programu.</w:t>
      </w:r>
    </w:p>
    <w:p w:rsidR="007648D4" w:rsidRPr="0068718D" w:rsidRDefault="0068718D" w:rsidP="00E43E55">
      <w:pPr>
        <w:jc w:val="both"/>
      </w:pPr>
      <w:r w:rsidRPr="0068718D">
        <w:t>P</w:t>
      </w:r>
      <w:r w:rsidRPr="0068718D">
        <w:t>odmioty, sporządzające plan nawożenia azotem wg uproszczonego bilansu zgodnie z podanym w Programie azotanowym wzorem</w:t>
      </w:r>
      <w:r w:rsidR="00E830BE" w:rsidRPr="00E830BE">
        <w:t xml:space="preserve"> mogą wykonać badania gleb, ale nie są one obowiązkowe.</w:t>
      </w:r>
      <w:r w:rsidRPr="0068718D">
        <w:t xml:space="preserve"> </w:t>
      </w:r>
      <w:r w:rsidR="00E830BE">
        <w:t>J</w:t>
      </w:r>
      <w:r w:rsidRPr="0068718D">
        <w:t xml:space="preserve">eżeli </w:t>
      </w:r>
      <w:r w:rsidR="00E830BE">
        <w:t xml:space="preserve">podmioty te </w:t>
      </w:r>
      <w:r w:rsidRPr="0068718D">
        <w:t xml:space="preserve">nie wykonały badań składu nawozów naturalnych lub zawartości </w:t>
      </w:r>
      <w:proofErr w:type="spellStart"/>
      <w:r w:rsidRPr="0068718D">
        <w:t>N</w:t>
      </w:r>
      <w:r w:rsidRPr="0068718D">
        <w:rPr>
          <w:vertAlign w:val="subscript"/>
        </w:rPr>
        <w:t>min</w:t>
      </w:r>
      <w:proofErr w:type="spellEnd"/>
      <w:r w:rsidRPr="0068718D">
        <w:t>, mogą korzystać ze wskaźników do</w:t>
      </w:r>
      <w:r w:rsidRPr="0068718D">
        <w:t xml:space="preserve">tyczących nawozów naturalnych </w:t>
      </w:r>
      <w:r w:rsidRPr="0068718D">
        <w:t xml:space="preserve">i zawartości </w:t>
      </w:r>
      <w:proofErr w:type="spellStart"/>
      <w:r w:rsidRPr="0068718D">
        <w:t>N</w:t>
      </w:r>
      <w:r w:rsidRPr="0068718D">
        <w:rPr>
          <w:vertAlign w:val="subscript"/>
        </w:rPr>
        <w:t>min</w:t>
      </w:r>
      <w:proofErr w:type="spellEnd"/>
      <w:r w:rsidRPr="0068718D">
        <w:t xml:space="preserve"> w glebie.</w:t>
      </w:r>
    </w:p>
    <w:p w:rsidR="000D0350" w:rsidRDefault="000D0350" w:rsidP="00E43E55">
      <w:pPr>
        <w:jc w:val="both"/>
        <w:rPr>
          <w:b/>
        </w:rPr>
      </w:pPr>
      <w:r>
        <w:rPr>
          <w:b/>
        </w:rPr>
        <w:t>W jakich sytuacjach podmiot nabywający nawóz naturalny lub produkt pofermentacyjny do bezpośredniego rolniczego wykorzystania musi posiadać plan nawożenia azotem?</w:t>
      </w:r>
    </w:p>
    <w:p w:rsidR="000D0350" w:rsidRPr="000D0350" w:rsidRDefault="000D0350" w:rsidP="00E43E55">
      <w:pPr>
        <w:jc w:val="both"/>
      </w:pPr>
      <w:r w:rsidRPr="000D0350">
        <w:t>Są 2 przypadki, w których podmiot nabywający musi posiadać plan nawożenia azotem</w:t>
      </w:r>
      <w:r>
        <w:t xml:space="preserve">. </w:t>
      </w:r>
      <w:r w:rsidRPr="000D0350">
        <w:t>Pierwszy przypadek: kiedy nabycie nastąpiło od podmiotu importującego nawóz naturalny lub produkt pofermentacyjny oraz drugi</w:t>
      </w:r>
      <w:r w:rsidR="00715060">
        <w:t xml:space="preserve"> przypadek</w:t>
      </w:r>
      <w:r w:rsidRPr="000D0350">
        <w:t>: kiedy nabycie nastąpiło od podmiotu</w:t>
      </w:r>
      <w:r w:rsidR="00715060">
        <w:t>,</w:t>
      </w:r>
      <w:r w:rsidRPr="000D0350">
        <w:t xml:space="preserve"> który prowadzi chów lub hodowlę drobiu powyżej 40 000 stanowisk lub chów lub hodowlę świń powyżej 2000 stanowisk dla świń o wadze ponad 30 kg lub 750 stanowisk dla macior.</w:t>
      </w:r>
    </w:p>
    <w:p w:rsidR="00EB29DF" w:rsidRDefault="00EB29DF" w:rsidP="00E43E55">
      <w:pPr>
        <w:jc w:val="both"/>
        <w:rPr>
          <w:b/>
        </w:rPr>
      </w:pPr>
      <w:r>
        <w:rPr>
          <w:b/>
        </w:rPr>
        <w:t xml:space="preserve">Jakimi zasadami należy się kierować przy </w:t>
      </w:r>
      <w:r w:rsidRPr="00EB29DF">
        <w:rPr>
          <w:b/>
        </w:rPr>
        <w:t>sporządzaniu planu nawożenia azotem przez podmioty</w:t>
      </w:r>
      <w:r>
        <w:rPr>
          <w:b/>
        </w:rPr>
        <w:t xml:space="preserve"> nabywające nawóz naturalny lub produkt pofermentacyjny do bezpośredniego rolniczego wykorzystania w celu nawożenia lub poprawy właściwości gleby?</w:t>
      </w:r>
    </w:p>
    <w:p w:rsidR="00EB29DF" w:rsidRPr="00EB29DF" w:rsidRDefault="00EB29DF" w:rsidP="00E43E55">
      <w:pPr>
        <w:jc w:val="both"/>
      </w:pPr>
      <w:r w:rsidRPr="00EB29DF">
        <w:lastRenderedPageBreak/>
        <w:t xml:space="preserve">Program azotanowy </w:t>
      </w:r>
      <w:r>
        <w:t>nie określa jednoznacznie jakimi za</w:t>
      </w:r>
      <w:r>
        <w:t xml:space="preserve">sadami należy się kierować przy </w:t>
      </w:r>
      <w:r>
        <w:t xml:space="preserve">sporządzaniu planu nawożenia azotem przez podmioty wskazane w rozdziale 1.5.2. ust. 4 Programu. W związku z powyższym, podmioty nabywające nawóz naturalny lub produkt pofermentacyjny od podmiotu importującego nawóz naturalny lub produkt pofermentacyjny lub od </w:t>
      </w:r>
      <w:r>
        <w:t xml:space="preserve">tzw. </w:t>
      </w:r>
      <w:r>
        <w:t>podmiotu</w:t>
      </w:r>
      <w:r>
        <w:t xml:space="preserve"> wielkotowarowego</w:t>
      </w:r>
      <w:r>
        <w:t>, powinny posiadać plan nawożenia azotem sporządzony co najmniej z uwzględnieniem sposobu obliczania dawki nawozów azotowych według uproszczonego bilansu azotu określonego w załączniku nr 8 do Programu azotanowego.</w:t>
      </w:r>
    </w:p>
    <w:p w:rsidR="0068718D" w:rsidRDefault="0068718D" w:rsidP="00E43E55">
      <w:pPr>
        <w:jc w:val="both"/>
        <w:rPr>
          <w:b/>
        </w:rPr>
      </w:pPr>
      <w:r>
        <w:rPr>
          <w:b/>
        </w:rPr>
        <w:t>Czy plan nawożenia azotem na 2019 rok ma uwzględniać jesienne nawożenie zastosowane pod uprawy zakładane jesienią 2018 r.?</w:t>
      </w:r>
    </w:p>
    <w:p w:rsidR="0068718D" w:rsidRPr="00E830BE" w:rsidRDefault="00E830BE" w:rsidP="00E43E55">
      <w:pPr>
        <w:jc w:val="both"/>
      </w:pPr>
      <w:r w:rsidRPr="00E830BE">
        <w:t>Tak, zasadne jest uwzględnienie w planie nawożenia azotem na 2019 r. jesiennego nawożenia zastosowanego pod uprawy zakładane jesienią 2018 r.</w:t>
      </w:r>
    </w:p>
    <w:p w:rsidR="0045465E" w:rsidRPr="0045465E" w:rsidRDefault="0045465E" w:rsidP="00E43E55">
      <w:pPr>
        <w:jc w:val="both"/>
        <w:rPr>
          <w:b/>
        </w:rPr>
      </w:pPr>
      <w:r w:rsidRPr="0045465E">
        <w:rPr>
          <w:b/>
        </w:rPr>
        <w:t>Czy istnieją narzędzia informatyczne ułatwiające wykonywanie niezbędnych obliczeń związanych z wdrażaniem Programu azotanowego?</w:t>
      </w:r>
    </w:p>
    <w:p w:rsidR="0045465E" w:rsidRDefault="0045465E" w:rsidP="00E43E55">
      <w:pPr>
        <w:jc w:val="both"/>
      </w:pPr>
      <w:r>
        <w:t xml:space="preserve">Tak, </w:t>
      </w:r>
      <w:r w:rsidRPr="0045465E">
        <w:t xml:space="preserve">takie narzędzia zostały opracowane i udostępnione on </w:t>
      </w:r>
      <w:proofErr w:type="spellStart"/>
      <w:r w:rsidRPr="0045465E">
        <w:t>line</w:t>
      </w:r>
      <w:proofErr w:type="spellEnd"/>
      <w:r w:rsidRPr="0045465E">
        <w:t xml:space="preserve"> przez Centrum Doradztwa Rolniczego (</w:t>
      </w:r>
      <w:hyperlink r:id="rId5" w:history="1">
        <w:r w:rsidR="00715060" w:rsidRPr="00D4237B">
          <w:rPr>
            <w:rStyle w:val="Hipercze"/>
          </w:rPr>
          <w:t>https://www.cdr.gov.pl</w:t>
        </w:r>
      </w:hyperlink>
      <w:r w:rsidRPr="0045465E">
        <w:t>)</w:t>
      </w:r>
    </w:p>
    <w:p w:rsidR="00715060" w:rsidRDefault="00715060" w:rsidP="00E43E55">
      <w:pPr>
        <w:jc w:val="both"/>
      </w:pPr>
    </w:p>
    <w:p w:rsidR="00450B13" w:rsidRDefault="00450B13" w:rsidP="00715060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AD5A58">
        <w:rPr>
          <w:sz w:val="24"/>
          <w:szCs w:val="24"/>
        </w:rPr>
        <w:t>Sposób dokumentowania realizacji Programu</w:t>
      </w:r>
    </w:p>
    <w:p w:rsidR="0069528B" w:rsidRPr="0069528B" w:rsidRDefault="0069528B" w:rsidP="00E43E55">
      <w:pPr>
        <w:jc w:val="both"/>
        <w:rPr>
          <w:b/>
        </w:rPr>
      </w:pPr>
      <w:r w:rsidRPr="0069528B">
        <w:rPr>
          <w:b/>
        </w:rPr>
        <w:t>Czy wszystkie podmioty prowadzące produkcję rolną muszą prowadzić ewidencję zabiegów agrotechnicznych związanych z nawożeniem azotem?</w:t>
      </w:r>
    </w:p>
    <w:p w:rsidR="0069528B" w:rsidRDefault="0069528B" w:rsidP="00E43E55">
      <w:pPr>
        <w:jc w:val="both"/>
      </w:pPr>
      <w:r w:rsidRPr="0069528B">
        <w:t>Nie, do prowadzenia ewidencji zabiegów agrotechnicznych związanych z nawożeniem azote</w:t>
      </w:r>
      <w:r>
        <w:t>m zobowiązane są podmioty prowadzące produkcję rolną na powierzchni większej lub równej 10 ha użytków rolnych lub utrzymujące zwierzęta gospodarskie w liczbie większej lub równej 10 DJP według stanu średniorocznego.</w:t>
      </w:r>
    </w:p>
    <w:p w:rsidR="00715060" w:rsidRPr="0069528B" w:rsidRDefault="00715060" w:rsidP="00E43E55">
      <w:pPr>
        <w:jc w:val="both"/>
      </w:pPr>
      <w:bookmarkStart w:id="0" w:name="_GoBack"/>
      <w:bookmarkEnd w:id="0"/>
    </w:p>
    <w:p w:rsidR="00881916" w:rsidRPr="00AD5A58" w:rsidRDefault="00881916" w:rsidP="00715060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AD5A58">
        <w:rPr>
          <w:sz w:val="24"/>
          <w:szCs w:val="24"/>
        </w:rPr>
        <w:t>Kontrola wdrażania Programu</w:t>
      </w:r>
    </w:p>
    <w:p w:rsidR="00881916" w:rsidRPr="00881916" w:rsidRDefault="00881916" w:rsidP="00E43E55">
      <w:pPr>
        <w:jc w:val="both"/>
        <w:rPr>
          <w:b/>
        </w:rPr>
      </w:pPr>
      <w:r w:rsidRPr="00881916">
        <w:rPr>
          <w:b/>
        </w:rPr>
        <w:t xml:space="preserve">Kto jest upoważniony do przeprowadzenia kontroli </w:t>
      </w:r>
      <w:r w:rsidR="00CB05E7">
        <w:rPr>
          <w:b/>
        </w:rPr>
        <w:t>stosowania</w:t>
      </w:r>
      <w:r w:rsidRPr="00881916">
        <w:rPr>
          <w:b/>
        </w:rPr>
        <w:t xml:space="preserve"> Programu</w:t>
      </w:r>
      <w:r w:rsidR="00CB05E7">
        <w:rPr>
          <w:b/>
        </w:rPr>
        <w:t xml:space="preserve"> </w:t>
      </w:r>
      <w:r w:rsidR="008D2778">
        <w:rPr>
          <w:b/>
        </w:rPr>
        <w:t>azotanowego</w:t>
      </w:r>
      <w:r w:rsidRPr="00881916">
        <w:rPr>
          <w:b/>
        </w:rPr>
        <w:t>?</w:t>
      </w:r>
    </w:p>
    <w:p w:rsidR="00881916" w:rsidRDefault="00CB05E7" w:rsidP="00E43E55">
      <w:pPr>
        <w:jc w:val="both"/>
      </w:pPr>
      <w:r>
        <w:t xml:space="preserve">Zgodnie z ustawą Prawo wodne kontrola stosowania Programu </w:t>
      </w:r>
      <w:r w:rsidR="008D2778">
        <w:t>azotanowego</w:t>
      </w:r>
      <w:r>
        <w:t xml:space="preserve"> przez podmioty prowadzące produkcję rolną jest wykonywana przez właściwe organy Inspekcji Ochrony Środowiska, czyli wojewódzkich inspektorów ochrony środowiska. </w:t>
      </w:r>
    </w:p>
    <w:p w:rsidR="007B1AC2" w:rsidRDefault="007B1AC2" w:rsidP="00E43E55">
      <w:pPr>
        <w:jc w:val="both"/>
      </w:pPr>
      <w:r>
        <w:t xml:space="preserve">Dodatkowo wymagania Programu </w:t>
      </w:r>
      <w:r w:rsidR="008D2778">
        <w:t>azotanowego</w:t>
      </w:r>
      <w:r>
        <w:t xml:space="preserve"> wchodzą w zakres zasady wzajemnej zgodności (cross-</w:t>
      </w:r>
      <w:proofErr w:type="spellStart"/>
      <w:r>
        <w:t>compliance</w:t>
      </w:r>
      <w:proofErr w:type="spellEnd"/>
      <w:r>
        <w:t>), dlatego wszyscy rolnicy korzystający z płatności bezpośrednich</w:t>
      </w:r>
      <w:r w:rsidR="005F310D" w:rsidRPr="005F310D">
        <w:t>, a także płatności obszarow</w:t>
      </w:r>
      <w:r w:rsidR="005F310D">
        <w:t>ych</w:t>
      </w:r>
      <w:r w:rsidR="005F310D" w:rsidRPr="005F310D">
        <w:t xml:space="preserve"> otrzymywan</w:t>
      </w:r>
      <w:r w:rsidR="005F310D">
        <w:t>ych</w:t>
      </w:r>
      <w:r w:rsidR="005F310D" w:rsidRPr="005F310D">
        <w:t xml:space="preserve"> w ramach Programu Rozwoju Obszarów Wiejskich na lata 2007-2013 oraz 2014-2020 (PROW)</w:t>
      </w:r>
      <w:r>
        <w:t xml:space="preserve"> mogą być w tym zakresie kontrolowani przez Agencję Restrukturyzacji i Modernizacji Rolnictwa. </w:t>
      </w:r>
      <w:r w:rsidR="005F310D" w:rsidRPr="005F310D">
        <w:t>Corocznie kontroli pod względem spełniania wymogów wzajemnej zgodności podlega 1% beneficjentów ubiegających się o płatności (z pominięciem rolników uczestniczących w systemie dla małych gospodarstw, którzy od 2015 roku nie podlegają kontroli wzajemnej zgodności).</w:t>
      </w:r>
    </w:p>
    <w:p w:rsidR="007B1AC2" w:rsidRPr="007B1AC2" w:rsidRDefault="007B1AC2" w:rsidP="00E43E55">
      <w:pPr>
        <w:jc w:val="both"/>
        <w:rPr>
          <w:b/>
        </w:rPr>
      </w:pPr>
      <w:r w:rsidRPr="007B1AC2">
        <w:rPr>
          <w:b/>
        </w:rPr>
        <w:t xml:space="preserve">Jakie kary grożą rolnikowi, który nie realizuje obowiązków wynikających z Programu </w:t>
      </w:r>
      <w:r w:rsidR="008D2778">
        <w:rPr>
          <w:b/>
        </w:rPr>
        <w:t>azotanowego</w:t>
      </w:r>
      <w:r w:rsidRPr="007B1AC2">
        <w:rPr>
          <w:b/>
        </w:rPr>
        <w:t>?</w:t>
      </w:r>
    </w:p>
    <w:p w:rsidR="007B1AC2" w:rsidRDefault="007B1AC2" w:rsidP="00E43E55">
      <w:pPr>
        <w:jc w:val="both"/>
      </w:pPr>
      <w:r>
        <w:t xml:space="preserve">Ustawa Prawo wodne ustanowiła </w:t>
      </w:r>
      <w:r w:rsidRPr="007B1AC2">
        <w:t xml:space="preserve">system kar uzależniony od zakresu i stopnia naruszenia </w:t>
      </w:r>
      <w:r>
        <w:t xml:space="preserve">Programu azotanowego </w:t>
      </w:r>
      <w:r w:rsidRPr="007B1AC2">
        <w:t xml:space="preserve">i daje możliwość organom Inspekcji Ochrony Środowiska wydawania decyzji </w:t>
      </w:r>
      <w:r w:rsidRPr="007B1AC2">
        <w:lastRenderedPageBreak/>
        <w:t xml:space="preserve">nakazujących usunięcie </w:t>
      </w:r>
      <w:r w:rsidR="008D2778">
        <w:t xml:space="preserve">w określonym terminie </w:t>
      </w:r>
      <w:r w:rsidRPr="007B1AC2">
        <w:t xml:space="preserve">stwierdzonych nieprawidłowości </w:t>
      </w:r>
      <w:r>
        <w:t>lub</w:t>
      </w:r>
      <w:r w:rsidRPr="007B1AC2">
        <w:t xml:space="preserve"> ustalania obowiązku uiszczenia opłaty za naruszenie zapisów Programu azotanowego.</w:t>
      </w:r>
    </w:p>
    <w:p w:rsidR="00627337" w:rsidRDefault="008D2778" w:rsidP="00E43E55">
      <w:pPr>
        <w:jc w:val="both"/>
      </w:pPr>
      <w:r>
        <w:t>Maksymalne stawki opłat za naruszenie Programu azotanowego aktualizowa</w:t>
      </w:r>
      <w:r w:rsidR="0045465E">
        <w:t>ne są co rok</w:t>
      </w:r>
      <w:r>
        <w:t xml:space="preserve"> i ogłaszane w Monitorze Polskim. </w:t>
      </w:r>
      <w:r w:rsidR="00627337">
        <w:t>Stawki obowiązujące w 2019 r. wynoszą:</w:t>
      </w:r>
    </w:p>
    <w:p w:rsidR="00627337" w:rsidRPr="00627337" w:rsidRDefault="00627337" w:rsidP="00E43E5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27337">
        <w:rPr>
          <w:rFonts w:cstheme="minorHAnsi"/>
        </w:rPr>
        <w:t>2040 zł za stosowanie nawozów niezgodnie z</w:t>
      </w:r>
      <w:r w:rsidRPr="00627337">
        <w:rPr>
          <w:rFonts w:cstheme="minorHAnsi"/>
        </w:rPr>
        <w:t xml:space="preserve"> Programem azotanowym,</w:t>
      </w:r>
    </w:p>
    <w:p w:rsidR="00627337" w:rsidRPr="00627337" w:rsidRDefault="00627337" w:rsidP="00E43E5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27337">
        <w:rPr>
          <w:rFonts w:cstheme="minorHAnsi"/>
        </w:rPr>
        <w:t>3060 zł za przechowywanie odchodów zwierzęcych niezgodnie z</w:t>
      </w:r>
      <w:r w:rsidRPr="00627337">
        <w:rPr>
          <w:rFonts w:cstheme="minorHAnsi"/>
        </w:rPr>
        <w:t xml:space="preserve"> Programem azotanowym,</w:t>
      </w:r>
    </w:p>
    <w:p w:rsidR="00627337" w:rsidRPr="00627337" w:rsidRDefault="00627337" w:rsidP="00E43E5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27337">
        <w:rPr>
          <w:rFonts w:cstheme="minorHAnsi"/>
        </w:rPr>
        <w:t>510 zł za prowadzenie dokumentacji realizacji Programu azotanowego niezgodnie z Programem</w:t>
      </w:r>
      <w:r w:rsidRPr="00627337">
        <w:rPr>
          <w:rFonts w:cstheme="minorHAnsi"/>
        </w:rPr>
        <w:t xml:space="preserve"> azotanowym,</w:t>
      </w:r>
    </w:p>
    <w:p w:rsidR="00627337" w:rsidRPr="00627337" w:rsidRDefault="00627337" w:rsidP="00E43E5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27337">
        <w:rPr>
          <w:rFonts w:cstheme="minorHAnsi"/>
        </w:rPr>
        <w:t>510 zł za brak planu nawożenia azotem, jeżeli jest wymagany zgodnie z przepisami</w:t>
      </w:r>
      <w:r>
        <w:rPr>
          <w:rFonts w:cstheme="minorHAnsi"/>
        </w:rPr>
        <w:t>.</w:t>
      </w:r>
    </w:p>
    <w:p w:rsidR="00627337" w:rsidRDefault="00627337" w:rsidP="00E43E55">
      <w:pPr>
        <w:jc w:val="both"/>
        <w:rPr>
          <w:rFonts w:cstheme="minorHAnsi"/>
        </w:rPr>
      </w:pPr>
      <w:r>
        <w:rPr>
          <w:rFonts w:cstheme="minorHAnsi"/>
        </w:rPr>
        <w:t xml:space="preserve">Pełna treść aktualnego obwieszczenia </w:t>
      </w:r>
      <w:r w:rsidRPr="00627337">
        <w:rPr>
          <w:rFonts w:cstheme="minorHAnsi"/>
        </w:rPr>
        <w:t xml:space="preserve">w sprawie wysokości maksymalnych stawek opłaty za naruszenie </w:t>
      </w:r>
      <w:r>
        <w:rPr>
          <w:rFonts w:cstheme="minorHAnsi"/>
        </w:rPr>
        <w:t xml:space="preserve">Programu azotanowego znajduje się pod podanym linkiem: </w:t>
      </w:r>
      <w:hyperlink r:id="rId6" w:history="1">
        <w:r w:rsidRPr="00D4237B">
          <w:rPr>
            <w:rStyle w:val="Hipercze"/>
            <w:rFonts w:cstheme="minorHAnsi"/>
          </w:rPr>
          <w:t>http://www.monitorpolski.gov.pl/MP/2018/1011/1</w:t>
        </w:r>
      </w:hyperlink>
      <w:r w:rsidR="007648D4">
        <w:rPr>
          <w:rFonts w:cstheme="minorHAnsi"/>
        </w:rPr>
        <w:t>.</w:t>
      </w:r>
    </w:p>
    <w:p w:rsidR="005F310D" w:rsidRPr="005F310D" w:rsidRDefault="005F310D" w:rsidP="00E43E55">
      <w:pPr>
        <w:jc w:val="both"/>
        <w:rPr>
          <w:rFonts w:cstheme="minorHAnsi"/>
        </w:rPr>
      </w:pPr>
      <w:r w:rsidRPr="005F310D">
        <w:rPr>
          <w:rFonts w:cstheme="minorHAnsi"/>
        </w:rPr>
        <w:t>Natomiast w przypadku kontroli przeprowadzanych przez Agencję Restrukturyzacji i Modernizacji Rolnictwa</w:t>
      </w:r>
      <w:r>
        <w:rPr>
          <w:rFonts w:cstheme="minorHAnsi"/>
        </w:rPr>
        <w:t xml:space="preserve"> w ramach zasady wzajemnej zgodności (cross-</w:t>
      </w:r>
      <w:proofErr w:type="spellStart"/>
      <w:r>
        <w:rPr>
          <w:rFonts w:cstheme="minorHAnsi"/>
        </w:rPr>
        <w:t>compliance</w:t>
      </w:r>
      <w:proofErr w:type="spellEnd"/>
      <w:r>
        <w:rPr>
          <w:rFonts w:cstheme="minorHAnsi"/>
        </w:rPr>
        <w:t xml:space="preserve">), wysokość sankcji </w:t>
      </w:r>
      <w:r w:rsidRPr="005F310D">
        <w:rPr>
          <w:rFonts w:cstheme="minorHAnsi"/>
        </w:rPr>
        <w:t>czyli % obniżenia płatności</w:t>
      </w:r>
      <w:r>
        <w:rPr>
          <w:rFonts w:cstheme="minorHAnsi"/>
        </w:rPr>
        <w:t xml:space="preserve"> otrzymywanych przez rolnika w ramach płatności bezpośrednich lub płatności obszarowych</w:t>
      </w:r>
      <w:r w:rsidRPr="005F310D">
        <w:rPr>
          <w:rFonts w:cstheme="minorHAnsi"/>
        </w:rPr>
        <w:t>, zależy od rodzaju i skali naruszenia wymogów.</w:t>
      </w:r>
    </w:p>
    <w:p w:rsidR="005F310D" w:rsidRDefault="005F310D" w:rsidP="00E43E55">
      <w:pPr>
        <w:jc w:val="both"/>
        <w:rPr>
          <w:rFonts w:cstheme="minorHAnsi"/>
        </w:rPr>
      </w:pPr>
      <w:r w:rsidRPr="005F310D">
        <w:rPr>
          <w:rFonts w:cstheme="minorHAnsi"/>
        </w:rPr>
        <w:t>W przypadku, gdy stwierdzona niezgodność wyniknie z zaniedbania ze strony rolnika, zmniejszenie płatności z zasady wynosi 3% całkowitej kwoty płatności, a w przypadku poważniejszych naruszeń 5%. Natomiast w sytuacji, gdy rolnik celowo dopuści się stwierdzone</w:t>
      </w:r>
      <w:r w:rsidR="0045465E">
        <w:rPr>
          <w:rFonts w:cstheme="minorHAnsi"/>
        </w:rPr>
        <w:t xml:space="preserve">j niezgodności, zmniejszenie to </w:t>
      </w:r>
      <w:r w:rsidRPr="005F310D">
        <w:rPr>
          <w:rFonts w:cstheme="minorHAnsi"/>
        </w:rPr>
        <w:t>z zasady wynosi 20% całkowitej kwoty lub w przypadkach rażących naruszeń może nawet zostać zwiększone do 100% całkowitej kwoty.</w:t>
      </w:r>
    </w:p>
    <w:p w:rsidR="00881916" w:rsidRPr="00BE3E1D" w:rsidRDefault="00881916" w:rsidP="00BE3E1D">
      <w:pPr>
        <w:rPr>
          <w:sz w:val="24"/>
          <w:szCs w:val="24"/>
        </w:rPr>
      </w:pPr>
    </w:p>
    <w:sectPr w:rsidR="00881916" w:rsidRPr="00BE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800"/>
    <w:multiLevelType w:val="hybridMultilevel"/>
    <w:tmpl w:val="F332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51B2"/>
    <w:multiLevelType w:val="hybridMultilevel"/>
    <w:tmpl w:val="A60E1058"/>
    <w:lvl w:ilvl="0" w:tplc="B832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2CD5"/>
    <w:multiLevelType w:val="hybridMultilevel"/>
    <w:tmpl w:val="47BC4726"/>
    <w:lvl w:ilvl="0" w:tplc="ACDE3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6"/>
    <w:rsid w:val="00086AEF"/>
    <w:rsid w:val="000D0350"/>
    <w:rsid w:val="001E4D8F"/>
    <w:rsid w:val="001E697F"/>
    <w:rsid w:val="002158BD"/>
    <w:rsid w:val="0043576B"/>
    <w:rsid w:val="00450B13"/>
    <w:rsid w:val="0045465E"/>
    <w:rsid w:val="00460415"/>
    <w:rsid w:val="00506615"/>
    <w:rsid w:val="00510FAB"/>
    <w:rsid w:val="005F310D"/>
    <w:rsid w:val="00627337"/>
    <w:rsid w:val="00682B1D"/>
    <w:rsid w:val="0068718D"/>
    <w:rsid w:val="0069528B"/>
    <w:rsid w:val="006C6B44"/>
    <w:rsid w:val="00715060"/>
    <w:rsid w:val="007648D4"/>
    <w:rsid w:val="007B1AC2"/>
    <w:rsid w:val="00881916"/>
    <w:rsid w:val="008A0129"/>
    <w:rsid w:val="008A6B2C"/>
    <w:rsid w:val="008D0576"/>
    <w:rsid w:val="008D2778"/>
    <w:rsid w:val="00981F81"/>
    <w:rsid w:val="00A27262"/>
    <w:rsid w:val="00A31EE9"/>
    <w:rsid w:val="00AD5A58"/>
    <w:rsid w:val="00BE3E1D"/>
    <w:rsid w:val="00C214B4"/>
    <w:rsid w:val="00C404D9"/>
    <w:rsid w:val="00CB05E7"/>
    <w:rsid w:val="00E43E55"/>
    <w:rsid w:val="00E708EE"/>
    <w:rsid w:val="00E830BE"/>
    <w:rsid w:val="00EB29DF"/>
    <w:rsid w:val="00EE1D22"/>
    <w:rsid w:val="00F063DC"/>
    <w:rsid w:val="00F21041"/>
    <w:rsid w:val="00FA2725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CB8A-0BFA-4D6B-8040-418B377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B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torpolski.gov.pl/MP/2018/1011/1" TargetMode="External"/><Relationship Id="rId5" Type="http://schemas.openxmlformats.org/officeDocument/2006/relationships/hyperlink" Target="https://www.cd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Piórkowski Piotr</dc:creator>
  <cp:keywords/>
  <dc:description/>
  <cp:lastModifiedBy>Piórkowski Piotr</cp:lastModifiedBy>
  <cp:revision>16</cp:revision>
  <dcterms:created xsi:type="dcterms:W3CDTF">2019-02-20T08:36:00Z</dcterms:created>
  <dcterms:modified xsi:type="dcterms:W3CDTF">2019-02-20T15:08:00Z</dcterms:modified>
</cp:coreProperties>
</file>