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L-Lysine hydrochloride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2"/>
              </w:numPr>
              <w:spacing w:after="0"/>
            </w:pPr>
            <w:r>
              <w:rPr>
                <w:rFonts w:ascii="Times New Roman"/>
                <w:sz w:val="16"/>
              </w:rPr>
              <w:t>with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3"/>
              </w:numPr>
              <w:spacing w:after="0"/>
            </w:pPr>
            <w:r>
              <w:rPr>
                <w:rFonts w:ascii="Times New Roman"/>
                <w:sz w:val="16"/>
              </w:rPr>
              <w:t>with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lastRenderedPageBreak/>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r>
              <w:rPr>
                <w:rFonts w:ascii="Times New Roman"/>
                <w:sz w:val="16"/>
              </w:rPr>
              <w:t>Caesium sulphate (CAS RN 10294-54-9) in solid form or as aqueous solution containing by weight 48</w:t>
            </w:r>
            <w:r>
              <w:rPr>
                <w:rFonts w:ascii="Times New Roman"/>
                <w:sz w:val="16"/>
              </w:rPr>
              <w:t> </w:t>
            </w:r>
            <w:r>
              <w:rPr>
                <w:rFonts w:ascii="Times New Roman"/>
                <w:sz w:val="16"/>
              </w:rPr>
              <w:t xml:space="preserve">% or more but </w:t>
            </w:r>
            <w:r>
              <w:rPr>
                <w:rFonts w:ascii="Times New Roman"/>
                <w:sz w:val="16"/>
              </w:rPr>
              <w:lastRenderedPageBreak/>
              <w:t>not more than 52</w:t>
            </w:r>
            <w:r>
              <w:rPr>
                <w:rFonts w:ascii="Times New Roman"/>
                <w:sz w:val="16"/>
              </w:rPr>
              <w:t> </w:t>
            </w:r>
            <w:r>
              <w:rPr>
                <w:rFonts w:ascii="Times New Roman"/>
                <w:sz w:val="16"/>
              </w:rPr>
              <w:t>% of caesium sulphate</w:t>
            </w:r>
          </w:p>
        </w:tc>
        <w:tc>
          <w:tcPr>
            <w:tcW w:w="1151" w:type="dxa"/>
            <w:shd w:val="clear" w:color="auto" w:fill="FFFFCC"/>
          </w:tcPr>
          <w:p w:rsidR="0076176C" w:rsidRDefault="0076176C" w:rsidP="00F7152C">
            <w:pPr>
              <w:spacing w:after="0"/>
            </w:pPr>
            <w:r>
              <w:rPr>
                <w:rFonts w:ascii="Times New Roman"/>
                <w:sz w:val="16"/>
              </w:rPr>
              <w:lastRenderedPageBreak/>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lastRenderedPageBreak/>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lastRenderedPageBreak/>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used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from Euterpe Oleracea or Euterpe Precatoria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r>
              <w:rPr>
                <w:rFonts w:ascii="Times New Roman"/>
                <w:sz w:val="16"/>
              </w:rPr>
              <w:t>pasteurised,</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r>
              <w:rPr>
                <w:rFonts w:ascii="Times New Roman"/>
                <w:sz w:val="16"/>
              </w:rPr>
              <w:t>Orthophosphoric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r>
              <w:rPr>
                <w:rFonts w:ascii="Times New Roman"/>
                <w:sz w:val="16"/>
              </w:rPr>
              <w:t xml:space="preserve">Trifluoroiodomethane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Diol-component for the manufacturing of Polyurethan-Systems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3-[3-(Trifluoromethyl)phenyl]propan-1-ol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2-[(2-Methoxyphenoxy)methyl]oxirane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O-Nitrobenzaldehyde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Photo-initiator characterised by excellent reactivity. Used in clear lacquers for wood, plastic, paper, metal optical fibres,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r>
              <w:rPr>
                <w:rFonts w:ascii="Times New Roman"/>
                <w:sz w:val="16"/>
              </w:rPr>
              <w:t>Octabenzone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(2-Chloro-5-iodo-phenyl)-(4-fluoro-phenyl)-Methanone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Therapeutic area cardiometabolic. Indication, type 2 diabites via inhibition of renal glucose reabsorption (sglt-2 inhibito</w:t>
            </w:r>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2-(3,5-Bis(trifluoromethyl)phenyl)-2-methylpropanoic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r>
              <w:rPr>
                <w:rFonts w:ascii="Times New Roman"/>
                <w:sz w:val="16"/>
              </w:rPr>
              <w:t>Triphenyl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ed to impart improved processing properties, flame retardance and increase physical property performance in PVC, cellulose acetate, cellulose nitrate, PC/ABS, modified PPO and epoxy resins. End-use applications include films, lacquers and moulding powders</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Reaction mass of tris(2-chloropropyl) phosphate and tris(2-chloro-1-methylethyl) phosphate and Phosphoric acid, bis(2-chloro-1-methylethyl) 2-chloropropyl ester and Phosphoric acid, 2-chloro-1-methylethyl bis(2-chloropropyl)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r w:rsidRPr="00461ABF">
              <w:rPr>
                <w:rFonts w:ascii="Times New Roman"/>
                <w:sz w:val="16"/>
                <w:lang w:val="fr-BE"/>
              </w:rPr>
              <w:t>Bicyclo[1.1.1]pentan-1-amine hydrochloride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manufacture of Chlorhexidine, desinfectant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4,4'-Bis(diethylamino)benzophenone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Bimolecular photoinitiator suitable for UV-polymerisation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r>
              <w:rPr>
                <w:rFonts w:ascii="Times New Roman"/>
                <w:sz w:val="16"/>
              </w:rPr>
              <w:t>Methylnitrofluorobenzophenone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4,4'-Bis(diethylamino)benzophenone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r>
              <w:rPr>
                <w:rFonts w:ascii="Times New Roman"/>
                <w:sz w:val="16"/>
              </w:rPr>
              <w:t>Tricyclo[3.3.1.13,7]decan-1-aminium,N,N,N-trimethyl-,hydroxide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(f.e.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[carbamimidoyl(methyl)amino]acetic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formulations with other ingredients</w:t>
            </w:r>
          </w:p>
        </w:tc>
      </w:tr>
      <w:tr w:rsidR="00F7152C" w:rsidTr="00F7152C">
        <w:tc>
          <w:tcPr>
            <w:tcW w:w="473" w:type="dxa"/>
          </w:tcPr>
          <w:p w:rsidR="00F7152C" w:rsidRDefault="00F7152C" w:rsidP="00F7152C">
            <w:pPr>
              <w:spacing w:after="0"/>
            </w:pPr>
            <w:r>
              <w:rPr>
                <w:rFonts w:ascii="Times New Roman"/>
                <w:sz w:val="16"/>
              </w:rPr>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r w:rsidRPr="00461ABF">
              <w:rPr>
                <w:rFonts w:ascii="Times New Roman"/>
                <w:sz w:val="16"/>
                <w:lang w:val="fr-BE"/>
              </w:rPr>
              <w:t>Acetone cyanohydrin technical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r>
              <w:rPr>
                <w:rFonts w:ascii="Times New Roman"/>
                <w:sz w:val="16"/>
              </w:rPr>
              <w:t>Phoxim (ISO) (CAS RN 14816-18-3) [stabilised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imported product is formulated together with formulation auxiliaries, solvents and dyes into veterinary products, as an emulsifiable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Potassium Ethyl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Highly effective Type II photoinitiator used too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r w:rsidRPr="00461ABF">
              <w:rPr>
                <w:rFonts w:ascii="Times New Roman"/>
                <w:sz w:val="16"/>
                <w:lang w:val="fr-BE"/>
              </w:rPr>
              <w:t>Phenyl vinyl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2-Chloroethylphosphonic acid (CAS RN 16672-87-0) wether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Chemical intermediate of active principle ingredient for the manufacture of pharmaceutical product</w:t>
            </w:r>
          </w:p>
        </w:tc>
      </w:tr>
      <w:tr w:rsidR="00F7152C" w:rsidTr="00F7152C">
        <w:tc>
          <w:tcPr>
            <w:tcW w:w="473" w:type="dxa"/>
          </w:tcPr>
          <w:p w:rsidR="00F7152C" w:rsidRDefault="00F7152C" w:rsidP="00F7152C">
            <w:pPr>
              <w:spacing w:after="0"/>
            </w:pPr>
            <w:r>
              <w:rPr>
                <w:rFonts w:ascii="Times New Roman"/>
                <w:sz w:val="16"/>
              </w:rPr>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r w:rsidRPr="00461ABF">
              <w:rPr>
                <w:rFonts w:ascii="Times New Roman"/>
                <w:sz w:val="16"/>
                <w:lang w:val="fr-BE"/>
              </w:rPr>
              <w:t>Niraparib tosylate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r>
              <w:rPr>
                <w:rFonts w:ascii="Times New Roman"/>
                <w:sz w:val="16"/>
              </w:rPr>
              <w:t>for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r>
              <w:rPr>
                <w:rFonts w:ascii="Times New Roman"/>
                <w:sz w:val="16"/>
              </w:rPr>
              <w:t>Diflufenican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r>
              <w:rPr>
                <w:rFonts w:ascii="Times New Roman"/>
                <w:sz w:val="16"/>
              </w:rPr>
              <w:t>Bis(2,2,6,6-tetramethyl-4-piperidyl) sebacate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intermediate for the synthesis of marbofloxacin,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flame retardant additive with applications in polyolefines,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2-(4,6-Diphenyl-1,3,5-triazin-2-yl)-5-(hexyloxy)phenol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r>
              <w:rPr>
                <w:rFonts w:ascii="Times New Roman"/>
                <w:sz w:val="16"/>
              </w:rPr>
              <w:t>Bumetrizole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1-[Bis(dimethylamino)methylene]-1H-benzotriazolium hexafluorophosphate(1-)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(7S,9aS)-7-((benzyloxy)methyl)octahydropyrazino[2,1-c][1,4]oxazine dioxalate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sed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2,3,4,6-Tetrakis-O-(phenylmethyl)-D-galactopyranose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polyolefins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t>80</w:t>
            </w:r>
            <w:r>
              <w:rPr>
                <w:rFonts w:ascii="Times New Roman"/>
                <w:sz w:val="16"/>
              </w:rPr>
              <w:t> </w:t>
            </w:r>
            <w:r>
              <w:rPr>
                <w:rFonts w:ascii="Times New Roman"/>
                <w:sz w:val="16"/>
              </w:rPr>
              <w:t>%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As a hydroxyphenyl triazine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difluoromethane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trifluoroiodomethane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pentafluoroethane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of Isopropylated Triaryl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of triphenyl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EPDM, PVC, HIPS, PC / ABS, PPO / HIPS, rigid and flexible polyurethane, TPU, epoxy resins, phenolic resins, coating paints, coatings for the textile secto</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Lithium hexafluorophosphate, Lithium tetrafluoroborate,</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1,3,2-Dioxathiolane 2,2-dioxide, Lithium tetrafluoroborate</w:t>
            </w:r>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8"/>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with a decorative layer of varying colour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r>
              <w:rPr>
                <w:rFonts w:ascii="Times New Roman"/>
                <w:sz w:val="16"/>
              </w:rPr>
              <w:t>Aluminium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Seamless aluminium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Seamless aluminium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installation into electromotors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to be further on installed into electromotors</w:t>
            </w:r>
          </w:p>
        </w:tc>
      </w:tr>
      <w:tr w:rsidR="00F7152C" w:rsidTr="00F7152C">
        <w:tc>
          <w:tcPr>
            <w:tcW w:w="473" w:type="dxa"/>
          </w:tcPr>
          <w:p w:rsidR="00F7152C" w:rsidRDefault="00F7152C" w:rsidP="00F7152C">
            <w:pPr>
              <w:spacing w:after="0"/>
            </w:pPr>
            <w:r>
              <w:rPr>
                <w:rFonts w:ascii="Times New Roman"/>
                <w:sz w:val="16"/>
              </w:rPr>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(NiMh)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a nominal capacity of 1,000 mAh or more but not more than 10,000 mAh,</w:t>
            </w:r>
          </w:p>
          <w:p w:rsidR="00F7152C" w:rsidRDefault="00F7152C" w:rsidP="00F7152C">
            <w:pPr>
              <w:numPr>
                <w:ilvl w:val="0"/>
                <w:numId w:val="26"/>
              </w:numPr>
              <w:spacing w:after="0"/>
            </w:pPr>
            <w:r>
              <w:rPr>
                <w:rFonts w:ascii="Times New Roman"/>
                <w:sz w:val="16"/>
              </w:rPr>
              <w:t>an internal resistance max. 200 mAh,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Battery assy,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electromechanical and electromagnetical switching function,</w:t>
            </w:r>
          </w:p>
          <w:p w:rsidR="00F7152C" w:rsidRDefault="00F7152C" w:rsidP="00F7152C">
            <w:pPr>
              <w:numPr>
                <w:ilvl w:val="0"/>
                <w:numId w:val="29"/>
              </w:numPr>
              <w:spacing w:after="0"/>
            </w:pPr>
            <w:r>
              <w:rPr>
                <w:rFonts w:ascii="Times New Roman"/>
                <w:sz w:val="16"/>
              </w:rPr>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one or more chainrings,</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r>
              <w:rPr>
                <w:rFonts w:ascii="Times New Roman"/>
                <w:i/>
                <w:sz w:val="16"/>
              </w:rPr>
              <w:t>Camelus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Milk of camels of the species Camelus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&gt;&gt; Goods produced from camel milk are not in competition with goods produced from cow milk. Consequently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 or With a kinematic viscosity not more than 5.0 cSt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chemical name of the substance is also lubricating oils (petroleum), C20-C50, and hydrotreated neutral oil-based.</w:t>
            </w:r>
          </w:p>
          <w:p w:rsidR="00E3697E" w:rsidRDefault="00E3697E" w:rsidP="0090223D">
            <w:pPr>
              <w:spacing w:after="0"/>
            </w:pPr>
            <w:r>
              <w:rPr>
                <w:rFonts w:ascii="Times New Roman"/>
                <w:sz w:val="16"/>
              </w:rPr>
              <w:t>Relevant characteristics are viscosity, viscosity index, pour point, flash point, colour, Noack,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Lithium hexafluorophosphate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2019-01 - Resubmission.</w:t>
            </w:r>
          </w:p>
          <w:p w:rsidR="00E3697E" w:rsidRDefault="00E3697E" w:rsidP="0090223D">
            <w:pPr>
              <w:spacing w:after="0"/>
            </w:pPr>
            <w:r>
              <w:rPr>
                <w:rFonts w:ascii="Times New Roman"/>
                <w:sz w:val="16"/>
              </w:rPr>
              <w:t>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round 1.7.2012 = change request rejected, suspension continous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r>
              <w:rPr>
                <w:rFonts w:ascii="Times New Roman"/>
                <w:sz w:val="16"/>
              </w:rPr>
              <w:t>Vinylene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Amendment.Mandatory review date 31/12/2019 This case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r>
              <w:rPr>
                <w:rFonts w:ascii="Times New Roman"/>
                <w:sz w:val="16"/>
              </w:rPr>
              <w:t>Colourant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r>
              <w:rPr>
                <w:rFonts w:ascii="Times New Roman"/>
                <w:sz w:val="16"/>
              </w:rPr>
              <w:t>Colourant C.I. Basic Blue 41 (CAS</w:t>
            </w:r>
            <w:r>
              <w:rPr>
                <w:rFonts w:ascii="Times New Roman"/>
                <w:sz w:val="16"/>
              </w:rPr>
              <w:t> </w:t>
            </w:r>
            <w:r>
              <w:rPr>
                <w:rFonts w:ascii="Times New Roman"/>
                <w:sz w:val="16"/>
              </w:rPr>
              <w:t>RN</w:t>
            </w:r>
            <w:r>
              <w:rPr>
                <w:rFonts w:ascii="Times New Roman"/>
                <w:sz w:val="16"/>
              </w:rPr>
              <w:t> </w:t>
            </w:r>
            <w:r>
              <w:rPr>
                <w:rFonts w:ascii="Times New Roman"/>
                <w:sz w:val="16"/>
              </w:rPr>
              <w:t>12270-13-2) and preparations based thereon with a colourant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t>C.I. Basic Yellow 28 dye (CAS RN 54060-92-3) and 50</w:t>
            </w:r>
            <w:r>
              <w:rPr>
                <w:rFonts w:ascii="Times New Roman"/>
                <w:sz w:val="16"/>
              </w:rPr>
              <w:t> </w:t>
            </w:r>
            <w:r>
              <w:rPr>
                <w:rFonts w:ascii="Times New Roman"/>
                <w:sz w:val="16"/>
              </w:rPr>
              <w:t>% or more by weight of C.I. Basic Yellow 28 preparatio</w:t>
            </w:r>
          </w:p>
          <w:p w:rsidR="00E3697E" w:rsidRDefault="00E3697E" w:rsidP="0090223D">
            <w:r>
              <w:t> </w:t>
            </w:r>
          </w:p>
          <w:p w:rsidR="00E3697E" w:rsidRDefault="00E3697E" w:rsidP="0090223D">
            <w:pPr>
              <w:spacing w:after="0"/>
            </w:pPr>
            <w:r>
              <w:rPr>
                <w:rFonts w:ascii="Times New Roman"/>
                <w:sz w:val="16"/>
              </w:rPr>
              <w:t>Colourant C.I. Basic Yellow 28 (CAS</w:t>
            </w:r>
            <w:r>
              <w:rPr>
                <w:rFonts w:ascii="Times New Roman"/>
                <w:sz w:val="16"/>
              </w:rPr>
              <w:t> </w:t>
            </w:r>
            <w:r>
              <w:rPr>
                <w:rFonts w:ascii="Times New Roman"/>
                <w:sz w:val="16"/>
              </w:rPr>
              <w:t>RN</w:t>
            </w:r>
            <w:r>
              <w:rPr>
                <w:rFonts w:ascii="Times New Roman"/>
                <w:sz w:val="16"/>
              </w:rPr>
              <w:t> </w:t>
            </w:r>
            <w:r>
              <w:rPr>
                <w:rFonts w:ascii="Times New Roman"/>
                <w:sz w:val="16"/>
              </w:rPr>
              <w:t>54060-92-3) and preparations based thereon with a colourant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Mixture of colourant C.I. Basic Blue 3 (CAS</w:t>
            </w:r>
            <w:r>
              <w:rPr>
                <w:rFonts w:ascii="Times New Roman"/>
                <w:sz w:val="16"/>
              </w:rPr>
              <w:t> </w:t>
            </w:r>
            <w:r>
              <w:rPr>
                <w:rFonts w:ascii="Times New Roman"/>
                <w:sz w:val="16"/>
              </w:rPr>
              <w:t>RN</w:t>
            </w:r>
            <w:r>
              <w:rPr>
                <w:rFonts w:ascii="Times New Roman"/>
                <w:sz w:val="16"/>
              </w:rPr>
              <w:t> </w:t>
            </w:r>
            <w:r>
              <w:rPr>
                <w:rFonts w:ascii="Times New Roman"/>
                <w:sz w:val="16"/>
              </w:rPr>
              <w:t>33203-82-6) and colourant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colourant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 CN 3506 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 Amendment</w:t>
            </w:r>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r>
              <w:rPr>
                <w:rFonts w:ascii="Times New Roman"/>
                <w:sz w:val="16"/>
              </w:rPr>
              <w:t>Sensitising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of diazooxonaphthalenesulphonic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r>
              <w:rPr>
                <w:rFonts w:ascii="Times New Roman"/>
                <w:sz w:val="16"/>
              </w:rPr>
              <w:t>Sensitising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Prolongation Exercise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Preparation based on photosensitive acrylic containing polymer, containing colour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r>
              <w:rPr>
                <w:rFonts w:ascii="Times New Roman"/>
                <w:sz w:val="16"/>
              </w:rPr>
              <w:t>Sensitising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r>
              <w:rPr>
                <w:rFonts w:ascii="Times New Roman"/>
                <w:sz w:val="16"/>
              </w:rPr>
              <w:t>methacrylates and hydroxystyrene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ethyl lactate and/or propylene glycolmethylether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of a photoinitiator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radically photopatternable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r>
              <w:rPr>
                <w:rFonts w:ascii="Times New Roman"/>
                <w:sz w:val="16"/>
              </w:rPr>
              <w:t>Pimel I-8124 F</w:t>
            </w:r>
            <w:r>
              <w:rPr>
                <w:rFonts w:ascii="Times New Roman"/>
                <w:sz w:val="16"/>
              </w:rPr>
              <w:t>”</w:t>
            </w:r>
          </w:p>
          <w:p w:rsidR="00E3697E" w:rsidRDefault="00E3697E" w:rsidP="0090223D">
            <w:pPr>
              <w:spacing w:after="0"/>
            </w:pPr>
            <w:r>
              <w:rPr>
                <w:rFonts w:ascii="Times New Roman"/>
                <w:sz w:val="16"/>
              </w:rPr>
              <w:t>Pimel I-8124 F is a yellowish-brown, clear, viscous chemical preparation for photographic purposes (light-sensitive emulsion for photolithography), consisting of polyimide/amide solved in N-methyl-c-pyrrolidone. The product is used for  the sensibilisation of wafers (silicon discs)</w:t>
            </w:r>
          </w:p>
        </w:tc>
      </w:tr>
      <w:tr w:rsidR="00E3697E" w:rsidTr="00CB01EC">
        <w:tc>
          <w:tcPr>
            <w:tcW w:w="1314" w:type="dxa"/>
          </w:tcPr>
          <w:p w:rsidR="00E3697E" w:rsidRDefault="00E3697E" w:rsidP="0090223D">
            <w:pPr>
              <w:spacing w:after="0"/>
            </w:pPr>
            <w:r>
              <w:rPr>
                <w:rFonts w:ascii="Times New Roman"/>
                <w:sz w:val="16"/>
              </w:rPr>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r>
              <w:rPr>
                <w:rFonts w:ascii="Times New Roman"/>
                <w:sz w:val="16"/>
              </w:rPr>
              <w:t>Prologation excercise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Prolongation excercise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The product is a dispersant viscosity modifier that is compatible with additive packages (concentrates) for lubricants. The dispersant mixture is further post-treated with small amount of dodecenyl succinic  anhydride to react with residual amino compounds to make monosuccinimide structures.</w:t>
            </w:r>
          </w:p>
          <w:p w:rsidR="00E3697E" w:rsidRDefault="00E3697E" w:rsidP="0090223D">
            <w:pPr>
              <w:spacing w:after="0"/>
            </w:pPr>
            <w:r>
              <w:rPr>
                <w:rFonts w:ascii="Times New Roman"/>
                <w:sz w:val="16"/>
              </w:rPr>
              <w:t>The product imparts dispersancy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 hexafluorophosphate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vinylene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lithiumfluorophosphate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lithium perchlorate in mixtures of organic solvents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Round 2020-01 - Amendment</w:t>
            </w: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Lithium nickel cobalt aluminium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r>
              <w:rPr>
                <w:rFonts w:ascii="Times New Roman"/>
                <w:sz w:val="16"/>
              </w:rPr>
              <w:t>μ</w:t>
            </w:r>
            <w:r>
              <w:rPr>
                <w:rFonts w:ascii="Times New Roman"/>
                <w:sz w:val="16"/>
              </w:rPr>
              <w:t>m,</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Amenndment</w:t>
            </w:r>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r>
              <w:rPr>
                <w:rFonts w:ascii="Times New Roman"/>
                <w:sz w:val="16"/>
              </w:rPr>
              <w:t>chloromethyl vinyl ether,</w:t>
            </w:r>
          </w:p>
          <w:p w:rsidR="00E3697E" w:rsidRDefault="00E3697E" w:rsidP="0090223D">
            <w:pPr>
              <w:numPr>
                <w:ilvl w:val="0"/>
                <w:numId w:val="14"/>
              </w:numPr>
              <w:spacing w:after="0"/>
            </w:pPr>
            <w:r>
              <w:rPr>
                <w:rFonts w:ascii="Times New Roman"/>
                <w:sz w:val="16"/>
              </w:rPr>
              <w:t>chloroethyl vinyl ether,</w:t>
            </w:r>
          </w:p>
          <w:p w:rsidR="00E3697E" w:rsidRDefault="00E3697E" w:rsidP="0090223D">
            <w:pPr>
              <w:numPr>
                <w:ilvl w:val="0"/>
                <w:numId w:val="14"/>
              </w:numPr>
              <w:spacing w:after="0"/>
            </w:pPr>
            <w:r>
              <w:rPr>
                <w:rFonts w:ascii="Times New Roman"/>
                <w:sz w:val="16"/>
              </w:rPr>
              <w:t>chloromethylstyrene,</w:t>
            </w:r>
          </w:p>
          <w:p w:rsidR="00E3697E" w:rsidRDefault="00E3697E" w:rsidP="0090223D">
            <w:pPr>
              <w:numPr>
                <w:ilvl w:val="0"/>
                <w:numId w:val="14"/>
              </w:numPr>
              <w:spacing w:after="0"/>
            </w:pPr>
            <w:r>
              <w:rPr>
                <w:rFonts w:ascii="Times New Roman"/>
                <w:sz w:val="16"/>
              </w:rPr>
              <w:t>vinyl chloroacetate,</w:t>
            </w:r>
          </w:p>
          <w:p w:rsidR="00E3697E" w:rsidRDefault="00E3697E" w:rsidP="0090223D">
            <w:pPr>
              <w:numPr>
                <w:ilvl w:val="0"/>
                <w:numId w:val="14"/>
              </w:numPr>
              <w:spacing w:after="0"/>
            </w:pPr>
            <w:r>
              <w:rPr>
                <w:rFonts w:ascii="Times New Roman"/>
                <w:sz w:val="16"/>
              </w:rPr>
              <w:t>methacrylic acid,</w:t>
            </w:r>
          </w:p>
          <w:p w:rsidR="00E3697E" w:rsidRDefault="00E3697E" w:rsidP="0090223D">
            <w:pPr>
              <w:numPr>
                <w:ilvl w:val="0"/>
                <w:numId w:val="14"/>
              </w:numPr>
              <w:spacing w:after="0"/>
            </w:pPr>
            <w:r>
              <w:rPr>
                <w:rFonts w:ascii="Times New Roman"/>
                <w:sz w:val="16"/>
              </w:rPr>
              <w:t>butenedioic acid monobutyl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Liquid crystal copolyester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consisting of at least one layer of fibreglass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(Df)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consisting of at least one layer of fibreglass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(Df)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2020-01 -Amendment</w:t>
            </w: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r>
              <w:rPr>
                <w:rFonts w:ascii="Times New Roman"/>
                <w:sz w:val="16"/>
              </w:rPr>
              <w:t>Aluminium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r>
              <w:rPr>
                <w:rFonts w:ascii="Times New Roman"/>
                <w:sz w:val="16"/>
              </w:rPr>
              <w:t>Aluminium foil (AL. Pouch) rolls coated with polypropylene on one side and nylon on the other. Aluminium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r w:rsidRPr="00135CE1">
              <w:rPr>
                <w:rFonts w:ascii="Times New Roman"/>
                <w:sz w:val="16"/>
                <w:lang w:val="fr-BE"/>
              </w:rPr>
              <w:t>ex 8301 60 00</w:t>
            </w:r>
          </w:p>
          <w:p w:rsidR="00E3697E" w:rsidRPr="00135CE1" w:rsidRDefault="00E3697E" w:rsidP="0090223D">
            <w:pPr>
              <w:spacing w:after="0"/>
              <w:rPr>
                <w:lang w:val="fr-BE"/>
              </w:rPr>
            </w:pPr>
            <w:r w:rsidRPr="00135CE1">
              <w:rPr>
                <w:rFonts w:ascii="Times New Roman"/>
                <w:sz w:val="16"/>
                <w:lang w:val="fr-BE"/>
              </w:rPr>
              <w:t>ex 8413 91 00</w:t>
            </w:r>
          </w:p>
          <w:p w:rsidR="00E3697E" w:rsidRPr="00135CE1" w:rsidRDefault="00E3697E" w:rsidP="0090223D">
            <w:pPr>
              <w:spacing w:after="0"/>
              <w:rPr>
                <w:lang w:val="fr-BE"/>
              </w:rPr>
            </w:pPr>
            <w:r w:rsidRPr="00135CE1">
              <w:rPr>
                <w:rFonts w:ascii="Times New Roman"/>
                <w:sz w:val="16"/>
                <w:lang w:val="fr-BE"/>
              </w:rPr>
              <w:t>ex 8419 90 85</w:t>
            </w:r>
          </w:p>
          <w:p w:rsidR="00E3697E" w:rsidRPr="00135CE1" w:rsidRDefault="00E3697E" w:rsidP="0090223D">
            <w:pPr>
              <w:spacing w:after="0"/>
              <w:rPr>
                <w:lang w:val="fr-BE"/>
              </w:rPr>
            </w:pPr>
            <w:r w:rsidRPr="00135CE1">
              <w:rPr>
                <w:rFonts w:ascii="Times New Roman"/>
                <w:sz w:val="16"/>
                <w:lang w:val="fr-BE"/>
              </w:rPr>
              <w:t>ex 8438 90 00</w:t>
            </w:r>
          </w:p>
          <w:p w:rsidR="00E3697E" w:rsidRPr="00135CE1" w:rsidRDefault="00E3697E" w:rsidP="0090223D">
            <w:pPr>
              <w:spacing w:after="0"/>
              <w:rPr>
                <w:lang w:val="fr-BE"/>
              </w:rPr>
            </w:pPr>
            <w:r w:rsidRPr="00135CE1">
              <w:rPr>
                <w:rFonts w:ascii="Times New Roman"/>
                <w:sz w:val="16"/>
                <w:lang w:val="fr-BE"/>
              </w:rPr>
              <w:t>ex 8468 90 00</w:t>
            </w:r>
          </w:p>
          <w:p w:rsidR="00E3697E" w:rsidRPr="00135CE1" w:rsidRDefault="00E3697E" w:rsidP="0090223D">
            <w:pPr>
              <w:spacing w:after="0"/>
              <w:rPr>
                <w:lang w:val="fr-BE"/>
              </w:rPr>
            </w:pPr>
            <w:r w:rsidRPr="00135CE1">
              <w:rPr>
                <w:rFonts w:ascii="Times New Roman"/>
                <w:sz w:val="16"/>
                <w:lang w:val="fr-BE"/>
              </w:rPr>
              <w:t>ex 8476 90 90</w:t>
            </w:r>
          </w:p>
          <w:p w:rsidR="00E3697E" w:rsidRPr="00135CE1" w:rsidRDefault="00E3697E" w:rsidP="0090223D">
            <w:pPr>
              <w:spacing w:after="0"/>
              <w:rPr>
                <w:lang w:val="fr-BE"/>
              </w:rPr>
            </w:pPr>
            <w:r w:rsidRPr="00135CE1">
              <w:rPr>
                <w:rFonts w:ascii="Times New Roman"/>
                <w:sz w:val="16"/>
                <w:lang w:val="fr-BE"/>
              </w:rPr>
              <w:t>ex 8479 90 70</w:t>
            </w:r>
          </w:p>
          <w:p w:rsidR="00E3697E" w:rsidRPr="00135CE1" w:rsidRDefault="00E3697E" w:rsidP="0090223D">
            <w:pPr>
              <w:spacing w:after="0"/>
              <w:rPr>
                <w:lang w:val="fr-BE"/>
              </w:rPr>
            </w:pPr>
            <w:r w:rsidRPr="00135CE1">
              <w:rPr>
                <w:rFonts w:ascii="Times New Roman"/>
                <w:sz w:val="16"/>
                <w:lang w:val="fr-BE"/>
              </w:rPr>
              <w:t>ex 8481 90 00</w:t>
            </w:r>
          </w:p>
          <w:p w:rsidR="00E3697E" w:rsidRPr="00135CE1" w:rsidRDefault="00E3697E" w:rsidP="0090223D">
            <w:pPr>
              <w:spacing w:after="0"/>
              <w:rPr>
                <w:lang w:val="fr-BE"/>
              </w:rPr>
            </w:pPr>
            <w:r w:rsidRPr="00135CE1">
              <w:rPr>
                <w:rFonts w:ascii="Times New Roman"/>
                <w:sz w:val="16"/>
                <w:lang w:val="fr-BE"/>
              </w:rPr>
              <w:t>ex 8503 00 99</w:t>
            </w:r>
          </w:p>
          <w:p w:rsidR="00E3697E" w:rsidRPr="00135CE1" w:rsidRDefault="00E3697E" w:rsidP="0090223D">
            <w:pPr>
              <w:spacing w:after="0"/>
              <w:rPr>
                <w:lang w:val="fr-BE"/>
              </w:rPr>
            </w:pPr>
            <w:r w:rsidRPr="00135CE1">
              <w:rPr>
                <w:rFonts w:ascii="Times New Roman"/>
                <w:sz w:val="16"/>
                <w:lang w:val="fr-BE"/>
              </w:rPr>
              <w:t>ex 8515 90 80</w:t>
            </w:r>
          </w:p>
          <w:p w:rsidR="00E3697E" w:rsidRPr="00135CE1" w:rsidRDefault="00E3697E" w:rsidP="0090223D">
            <w:pPr>
              <w:spacing w:after="0"/>
              <w:rPr>
                <w:lang w:val="fr-BE"/>
              </w:rPr>
            </w:pPr>
            <w:r w:rsidRPr="00135CE1">
              <w:rPr>
                <w:rFonts w:ascii="Times New Roman"/>
                <w:sz w:val="16"/>
                <w:lang w:val="fr-BE"/>
              </w:rPr>
              <w:t>ex 8536 90 95</w:t>
            </w:r>
          </w:p>
          <w:p w:rsidR="00E3697E" w:rsidRPr="00135CE1" w:rsidRDefault="00E3697E" w:rsidP="0090223D">
            <w:pPr>
              <w:spacing w:after="0"/>
              <w:rPr>
                <w:lang w:val="fr-BE"/>
              </w:rPr>
            </w:pPr>
            <w:r w:rsidRPr="00135CE1">
              <w:rPr>
                <w:rFonts w:ascii="Times New Roman"/>
                <w:sz w:val="16"/>
                <w:lang w:val="fr-BE"/>
              </w:rPr>
              <w:t>ex 8537 10 98</w:t>
            </w:r>
          </w:p>
          <w:p w:rsidR="00E3697E" w:rsidRPr="00135CE1" w:rsidRDefault="00E3697E" w:rsidP="0090223D">
            <w:pPr>
              <w:spacing w:after="0"/>
              <w:rPr>
                <w:lang w:val="fr-BE"/>
              </w:rPr>
            </w:pPr>
            <w:r w:rsidRPr="00135CE1">
              <w:rPr>
                <w:rFonts w:ascii="Times New Roman"/>
                <w:sz w:val="16"/>
                <w:lang w:val="fr-BE"/>
              </w:rPr>
              <w:t>ex 8708 91 20</w:t>
            </w:r>
          </w:p>
          <w:p w:rsidR="00E3697E" w:rsidRPr="00135CE1" w:rsidRDefault="00E3697E" w:rsidP="0090223D">
            <w:pPr>
              <w:spacing w:after="0"/>
              <w:rPr>
                <w:lang w:val="fr-BE"/>
              </w:rPr>
            </w:pPr>
            <w:r w:rsidRPr="00135CE1">
              <w:rPr>
                <w:rFonts w:ascii="Times New Roman"/>
                <w:sz w:val="16"/>
                <w:lang w:val="fr-BE"/>
              </w:rPr>
              <w:t>ex 8708 91 99</w:t>
            </w:r>
          </w:p>
          <w:p w:rsidR="00E3697E" w:rsidRPr="00135CE1" w:rsidRDefault="00E3697E" w:rsidP="0090223D">
            <w:pPr>
              <w:spacing w:after="0"/>
              <w:rPr>
                <w:lang w:val="fr-BE"/>
              </w:rPr>
            </w:pPr>
            <w:r w:rsidRPr="00135CE1">
              <w:rPr>
                <w:rFonts w:ascii="Times New Roman"/>
                <w:sz w:val="16"/>
                <w:lang w:val="fr-BE"/>
              </w:rPr>
              <w:t>ex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whether or not with parts of metal, plastic, glass fibre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t>single or multilayer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r>
              <w:rPr>
                <w:rFonts w:ascii="Times New Roman"/>
                <w:sz w:val="16"/>
              </w:rPr>
              <w:t>snowploughs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r>
              <w:rPr>
                <w:rFonts w:ascii="Times New Roman"/>
                <w:sz w:val="16"/>
              </w:rPr>
              <w:t>snowploughs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Motors to be incorporated in lawn mowers, tractors, snowploughs,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a power of 300 Wh or more, but not more than 648 Wh,</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accumulator will be mounted into motor vehicle during manufacturin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Cylindrical lithium-ion accumulator or module, with a length of 63 mm or more and a diameter of 17,2 mm or more, having a nominal capacity of 1 200 mAh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a nominal energy of 458 Wh or more, but not more than 2 158 Wh</w:t>
            </w:r>
          </w:p>
          <w:p w:rsidR="00E3697E" w:rsidRDefault="00E3697E" w:rsidP="0090223D">
            <w:r>
              <w:t> </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r>
              <w:rPr>
                <w:rFonts w:ascii="Times New Roman"/>
                <w:sz w:val="16"/>
              </w:rPr>
              <w:t>Wh or more, but not more than 2</w:t>
            </w:r>
            <w:r>
              <w:rPr>
                <w:rFonts w:ascii="Times New Roman"/>
                <w:sz w:val="16"/>
              </w:rPr>
              <w:t> </w:t>
            </w:r>
            <w:r>
              <w:rPr>
                <w:rFonts w:ascii="Times New Roman"/>
                <w:sz w:val="16"/>
              </w:rPr>
              <w:t>158</w:t>
            </w:r>
            <w:r>
              <w:rPr>
                <w:rFonts w:ascii="Times New Roman"/>
                <w:sz w:val="16"/>
              </w:rPr>
              <w:t> </w:t>
            </w:r>
            <w:r>
              <w:rPr>
                <w:rFonts w:ascii="Times New Roman"/>
                <w:sz w:val="16"/>
              </w:rPr>
              <w:t>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kgor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and  roll-design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Liquid crystal display colour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a plug for power supply and CAN (Controller Area Network) and LVDS (Low Voltage Differential Signalling) interfaces,</w:t>
            </w:r>
          </w:p>
          <w:p w:rsidR="00E3697E" w:rsidRDefault="00E3697E" w:rsidP="0090223D">
            <w:pPr>
              <w:numPr>
                <w:ilvl w:val="0"/>
                <w:numId w:val="38"/>
              </w:numPr>
              <w:spacing w:after="0"/>
            </w:pPr>
            <w:r>
              <w:rPr>
                <w:rFonts w:ascii="Times New Roman"/>
                <w:sz w:val="16"/>
              </w:rPr>
              <w:t>whether or not with electronic components to generate additional 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a LVDS (Low Voltage Differential Signalling)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
          <w:p w:rsidR="00E3697E" w:rsidRDefault="00E3697E" w:rsidP="0090223D">
            <w:pPr>
              <w:spacing w:after="0"/>
            </w:pPr>
          </w:p>
          <w:p w:rsidR="00E3697E" w:rsidRDefault="00E3697E" w:rsidP="0090223D">
            <w:pPr>
              <w:spacing w:after="0"/>
            </w:pPr>
            <w:r>
              <w:rPr>
                <w:rFonts w:ascii="Times New Roman"/>
                <w:sz w:val="16"/>
              </w:rPr>
              <w:t>End use of the imported goods :. Goods used to hold semiconductor circuits, which are then soldered on custom carrier devices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cast aluminium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cast aluminium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a strength of 19 kN or more</w:t>
            </w:r>
          </w:p>
          <w:p w:rsidR="00E3697E" w:rsidRDefault="00E3697E" w:rsidP="0090223D">
            <w:pPr>
              <w:numPr>
                <w:ilvl w:val="0"/>
                <w:numId w:val="46"/>
              </w:numPr>
              <w:spacing w:after="0"/>
            </w:pPr>
            <w:r>
              <w:rPr>
                <w:rFonts w:ascii="Times New Roman"/>
                <w:sz w:val="16"/>
              </w:rPr>
              <w:t>a stiffness of 5 kN/mm or more but not more than 9 kN/mm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a strength of 19 kN or more,</w:t>
            </w:r>
          </w:p>
          <w:p w:rsidR="00E3697E" w:rsidRDefault="00E3697E" w:rsidP="0090223D">
            <w:pPr>
              <w:numPr>
                <w:ilvl w:val="0"/>
                <w:numId w:val="48"/>
              </w:numPr>
              <w:spacing w:after="0"/>
            </w:pPr>
            <w:r>
              <w:rPr>
                <w:rFonts w:ascii="Times New Roman"/>
                <w:sz w:val="16"/>
              </w:rPr>
              <w:t>a 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Frame, constructed from aluminium or aluminium and carbon fibres,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Mode of operation:  A bicycle frame is the supporting construction of the bike. This part connects all the parts of the bike together. A aluminium bicycle frame is made of aluminium components, which are jointed together by welding. The aluminium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A seatpost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Organic uncut corrective eyeglass lens, finished on both sides, to undergo a coating, colouring,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 Prolongation exercise - green list item.Late Request for amendment</w:t>
            </w:r>
          </w:p>
          <w:p w:rsidR="0090223D" w:rsidRDefault="0090223D" w:rsidP="0090223D">
            <w:pPr>
              <w:spacing w:after="0"/>
            </w:pPr>
          </w:p>
          <w:p w:rsidR="00E3697E" w:rsidRDefault="00E3697E" w:rsidP="0090223D">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F3" w:rsidRDefault="00F048F3" w:rsidP="00F7152C">
      <w:pPr>
        <w:spacing w:after="0" w:line="240" w:lineRule="auto"/>
      </w:pPr>
      <w:r>
        <w:separator/>
      </w:r>
    </w:p>
  </w:endnote>
  <w:endnote w:type="continuationSeparator" w:id="0">
    <w:p w:rsidR="00F048F3" w:rsidRDefault="00F048F3"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F3" w:rsidRDefault="00F048F3" w:rsidP="00F7152C">
      <w:pPr>
        <w:spacing w:after="0" w:line="240" w:lineRule="auto"/>
      </w:pPr>
      <w:r>
        <w:separator/>
      </w:r>
    </w:p>
  </w:footnote>
  <w:footnote w:type="continuationSeparator" w:id="0">
    <w:p w:rsidR="00F048F3" w:rsidRDefault="00F048F3" w:rsidP="00F7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73C46B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0A3F"/>
    <w:rsid w:val="000C0A3F"/>
    <w:rsid w:val="0076176C"/>
    <w:rsid w:val="007E31BE"/>
    <w:rsid w:val="0090223D"/>
    <w:rsid w:val="00A35515"/>
    <w:rsid w:val="00CB01EC"/>
    <w:rsid w:val="00D30E54"/>
    <w:rsid w:val="00DA3D1F"/>
    <w:rsid w:val="00E3697E"/>
    <w:rsid w:val="00F048F3"/>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Nagwek">
    <w:name w:val="header"/>
    <w:basedOn w:val="Normalny"/>
    <w:link w:val="NagwekZnak"/>
    <w:uiPriority w:val="99"/>
    <w:unhideWhenUsed/>
    <w:rsid w:val="00F7152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7152C"/>
  </w:style>
  <w:style w:type="paragraph" w:styleId="Stopka">
    <w:name w:val="footer"/>
    <w:basedOn w:val="Normalny"/>
    <w:link w:val="StopkaZnak"/>
    <w:uiPriority w:val="99"/>
    <w:unhideWhenUsed/>
    <w:rsid w:val="00F7152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7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Nagwek">
    <w:name w:val="header"/>
    <w:basedOn w:val="Normalny"/>
    <w:link w:val="NagwekZnak"/>
    <w:uiPriority w:val="99"/>
    <w:unhideWhenUsed/>
    <w:rsid w:val="00F7152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7152C"/>
  </w:style>
  <w:style w:type="paragraph" w:styleId="Stopka">
    <w:name w:val="footer"/>
    <w:basedOn w:val="Normalny"/>
    <w:link w:val="StopkaZnak"/>
    <w:uiPriority w:val="99"/>
    <w:unhideWhenUsed/>
    <w:rsid w:val="00F7152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11945</Words>
  <Characters>71671</Characters>
  <Application>Microsoft Office Word</Application>
  <DocSecurity>0</DocSecurity>
  <Lines>597</Lines>
  <Paragraphs>166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Malgorzata Miasko</cp:lastModifiedBy>
  <cp:revision>2</cp:revision>
  <dcterms:created xsi:type="dcterms:W3CDTF">2019-04-16T11:05:00Z</dcterms:created>
  <dcterms:modified xsi:type="dcterms:W3CDTF">2019-04-16T11:05:00Z</dcterms:modified>
</cp:coreProperties>
</file>