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65BEE" w:rsidRPr="00006B96" w:rsidRDefault="00006B96" w:rsidP="00C65BEE">
      <w:pPr>
        <w:ind w:left="9781"/>
        <w:rPr>
          <w:rFonts w:ascii="Times New Roman" w:hAnsi="Times New Roman" w:cs="Times New Roman"/>
          <w:iCs/>
        </w:rPr>
      </w:pPr>
      <w:r>
        <w:rPr>
          <w:rFonts w:ascii="Times New Roman" w:hAnsi="Times New Roman" w:cs="Times New Roman"/>
          <w:iCs/>
        </w:rPr>
        <w:t>Załącznik do ustawy z dnia …</w:t>
      </w:r>
      <w:r w:rsidR="00C65BEE" w:rsidRPr="00006B96">
        <w:rPr>
          <w:rFonts w:ascii="Times New Roman" w:hAnsi="Times New Roman" w:cs="Times New Roman"/>
          <w:iCs/>
        </w:rPr>
        <w:t xml:space="preserve"> – Kodeks urbanistyczno-budowlany (Dz. U.  poz. …….)</w:t>
      </w:r>
    </w:p>
    <w:p w:rsidR="00C65BEE" w:rsidRPr="00A60010" w:rsidRDefault="00C65BEE" w:rsidP="00C65BEE">
      <w:pPr>
        <w:pStyle w:val="USTustnpkodeksu"/>
        <w:spacing w:line="276" w:lineRule="auto"/>
        <w:ind w:hanging="142"/>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5"/>
        <w:gridCol w:w="1985"/>
        <w:gridCol w:w="1985"/>
        <w:gridCol w:w="1985"/>
        <w:gridCol w:w="1985"/>
        <w:gridCol w:w="1985"/>
        <w:gridCol w:w="1985"/>
      </w:tblGrid>
      <w:tr w:rsidR="00C65BEE" w:rsidRPr="00A60010" w:rsidTr="00146D5E">
        <w:tc>
          <w:tcPr>
            <w:tcW w:w="1985" w:type="dxa"/>
            <w:gridSpan w:val="8"/>
          </w:tcPr>
          <w:p w:rsidR="00C65BEE" w:rsidRPr="007100D7" w:rsidRDefault="00C65BEE" w:rsidP="00146D5E">
            <w:pPr>
              <w:pStyle w:val="USTustnpkodeksu"/>
              <w:tabs>
                <w:tab w:val="left" w:pos="6551"/>
              </w:tabs>
              <w:spacing w:line="276" w:lineRule="auto"/>
              <w:ind w:firstLine="0"/>
              <w:jc w:val="center"/>
              <w:rPr>
                <w:rFonts w:ascii="Times New Roman" w:hAnsi="Times New Roman" w:cs="Times New Roman"/>
                <w:b/>
                <w:color w:val="000000"/>
                <w:sz w:val="20"/>
              </w:rPr>
            </w:pPr>
            <w:r w:rsidRPr="007100D7">
              <w:rPr>
                <w:rFonts w:ascii="Times New Roman" w:hAnsi="Times New Roman" w:cs="Times New Roman"/>
                <w:b/>
                <w:color w:val="000000"/>
                <w:sz w:val="20"/>
              </w:rPr>
              <w:t>Zasady zaliczania inwestycji do kategorii</w:t>
            </w:r>
          </w:p>
        </w:tc>
      </w:tr>
      <w:tr w:rsidR="00C65BEE" w:rsidRPr="00A60010" w:rsidTr="00146D5E">
        <w:tc>
          <w:tcPr>
            <w:tcW w:w="1985" w:type="dxa"/>
            <w:gridSpan w:val="8"/>
          </w:tcPr>
          <w:p w:rsidR="00C65BEE" w:rsidRPr="00541F1B" w:rsidRDefault="00C65BEE" w:rsidP="00146D5E">
            <w:pPr>
              <w:pStyle w:val="ARTartustawynprozporzdzenia"/>
              <w:spacing w:line="276" w:lineRule="auto"/>
              <w:ind w:firstLine="0"/>
              <w:rPr>
                <w:rFonts w:ascii="Times New Roman" w:hAnsi="Times New Roman" w:cs="Times New Roman"/>
                <w:sz w:val="20"/>
              </w:rPr>
            </w:pPr>
            <w:r w:rsidRPr="00541F1B">
              <w:rPr>
                <w:rFonts w:ascii="Times New Roman" w:hAnsi="Times New Roman" w:cs="Times New Roman"/>
                <w:b/>
                <w:sz w:val="20"/>
              </w:rPr>
              <w:t xml:space="preserve">I. </w:t>
            </w:r>
            <w:r w:rsidRPr="00541F1B">
              <w:rPr>
                <w:rFonts w:ascii="Times New Roman" w:hAnsi="Times New Roman" w:cs="Times New Roman"/>
                <w:sz w:val="20"/>
              </w:rPr>
              <w:t>Zaliczenie inwestycji do kategorii następuje z uwzględnieniem następujących zasad:</w:t>
            </w:r>
          </w:p>
          <w:p w:rsidR="00C65BEE" w:rsidRPr="00541F1B" w:rsidRDefault="00C65BEE" w:rsidP="00146D5E">
            <w:pPr>
              <w:pStyle w:val="PKTpunkt"/>
              <w:spacing w:line="276" w:lineRule="auto"/>
              <w:rPr>
                <w:rFonts w:ascii="Times New Roman" w:hAnsi="Times New Roman"/>
                <w:sz w:val="20"/>
              </w:rPr>
            </w:pPr>
            <w:r w:rsidRPr="00541F1B">
              <w:rPr>
                <w:rFonts w:ascii="Times New Roman" w:hAnsi="Times New Roman"/>
                <w:sz w:val="20"/>
              </w:rPr>
              <w:t>1)</w:t>
            </w:r>
            <w:r w:rsidRPr="00541F1B">
              <w:rPr>
                <w:rFonts w:ascii="Times New Roman" w:hAnsi="Times New Roman"/>
                <w:sz w:val="20"/>
              </w:rPr>
              <w:tab/>
              <w:t>inwestycję stanowiącą czasową zmianę zagospodarowania terenu służącą realizacji innej inwestycji i przewidzianą do realizacji na jej terenie, w tym budowę tymczasowych obiektów budowlanych przeznaczonych do użytkowania w trakcie realizacji tej inwestycji, zalicza się do kategorii 1;</w:t>
            </w:r>
          </w:p>
          <w:p w:rsidR="00C65BEE" w:rsidRPr="00541F1B" w:rsidRDefault="00C65BEE" w:rsidP="00146D5E">
            <w:pPr>
              <w:pStyle w:val="PKTpunkt"/>
              <w:spacing w:line="276" w:lineRule="auto"/>
              <w:rPr>
                <w:rFonts w:ascii="Times New Roman" w:hAnsi="Times New Roman"/>
                <w:sz w:val="20"/>
              </w:rPr>
            </w:pPr>
            <w:r w:rsidRPr="00541F1B">
              <w:rPr>
                <w:rFonts w:ascii="Times New Roman" w:hAnsi="Times New Roman"/>
                <w:sz w:val="20"/>
              </w:rPr>
              <w:t>2)</w:t>
            </w:r>
            <w:r w:rsidRPr="00541F1B">
              <w:rPr>
                <w:rFonts w:ascii="Times New Roman" w:hAnsi="Times New Roman"/>
                <w:sz w:val="20"/>
              </w:rPr>
              <w:tab/>
              <w:t>jeżeli inwestycja wymieniona w kategorii 1 spełnia jedną z poniższych przesłanek:</w:t>
            </w:r>
          </w:p>
          <w:p w:rsidR="00C65BEE" w:rsidRPr="00541F1B" w:rsidRDefault="00C65BEE" w:rsidP="00146D5E">
            <w:pPr>
              <w:pStyle w:val="ARTartustawynprozporzdzenia"/>
              <w:spacing w:line="276" w:lineRule="auto"/>
              <w:ind w:left="993" w:hanging="425"/>
              <w:rPr>
                <w:rFonts w:ascii="Times New Roman" w:hAnsi="Times New Roman" w:cs="Times New Roman"/>
                <w:sz w:val="20"/>
              </w:rPr>
            </w:pPr>
            <w:r w:rsidRPr="00541F1B">
              <w:rPr>
                <w:rFonts w:ascii="Times New Roman" w:hAnsi="Times New Roman" w:cs="Times New Roman"/>
                <w:sz w:val="20"/>
              </w:rPr>
              <w:t>a)</w:t>
            </w:r>
            <w:r w:rsidRPr="00541F1B">
              <w:rPr>
                <w:rFonts w:ascii="Times New Roman" w:hAnsi="Times New Roman" w:cs="Times New Roman"/>
                <w:sz w:val="20"/>
              </w:rPr>
              <w:tab/>
              <w:t>wymaga przeprowadzenia oceny oddziaływania na środowisko,</w:t>
            </w:r>
          </w:p>
          <w:p w:rsidR="00C65BEE" w:rsidRPr="00541F1B" w:rsidRDefault="00C65BEE" w:rsidP="00146D5E">
            <w:pPr>
              <w:pStyle w:val="ARTartustawynprozporzdzenia"/>
              <w:spacing w:line="276" w:lineRule="auto"/>
              <w:ind w:left="993" w:hanging="425"/>
              <w:rPr>
                <w:rFonts w:ascii="Times New Roman" w:hAnsi="Times New Roman" w:cs="Times New Roman"/>
                <w:sz w:val="20"/>
              </w:rPr>
            </w:pPr>
            <w:r w:rsidRPr="00541F1B">
              <w:rPr>
                <w:rFonts w:ascii="Times New Roman" w:hAnsi="Times New Roman" w:cs="Times New Roman"/>
                <w:sz w:val="20"/>
              </w:rPr>
              <w:t>b)</w:t>
            </w:r>
            <w:r w:rsidRPr="00541F1B">
              <w:rPr>
                <w:rFonts w:ascii="Times New Roman" w:hAnsi="Times New Roman" w:cs="Times New Roman"/>
                <w:sz w:val="20"/>
              </w:rPr>
              <w:tab/>
              <w:t>stanowi przedsięwzięcie wymagające przeprowadzenia oceny oddziaływania na obszar Natura 2000, zgodnie z art. 59 ustawy ocenowej,</w:t>
            </w:r>
          </w:p>
          <w:p w:rsidR="00C65BEE" w:rsidRPr="00541F1B" w:rsidRDefault="00C65BEE" w:rsidP="00146D5E">
            <w:pPr>
              <w:pStyle w:val="ARTartustawynprozporzdzenia"/>
              <w:spacing w:line="276" w:lineRule="auto"/>
              <w:ind w:left="993" w:hanging="425"/>
              <w:rPr>
                <w:rFonts w:ascii="Times New Roman" w:hAnsi="Times New Roman" w:cs="Times New Roman"/>
                <w:sz w:val="20"/>
              </w:rPr>
            </w:pPr>
            <w:r w:rsidRPr="00541F1B">
              <w:rPr>
                <w:rFonts w:ascii="Times New Roman" w:hAnsi="Times New Roman" w:cs="Times New Roman"/>
                <w:sz w:val="20"/>
              </w:rPr>
              <w:t>c)</w:t>
            </w:r>
            <w:r w:rsidRPr="00541F1B">
              <w:rPr>
                <w:rFonts w:ascii="Times New Roman" w:hAnsi="Times New Roman" w:cs="Times New Roman"/>
                <w:sz w:val="20"/>
              </w:rPr>
              <w:tab/>
              <w:t>jest wykonywana na terenie parku narodowego albo rezerwatu lub ich otulin,</w:t>
            </w:r>
          </w:p>
          <w:p w:rsidR="00C65BEE" w:rsidRPr="00541F1B" w:rsidRDefault="002833C6" w:rsidP="00146D5E">
            <w:pPr>
              <w:pStyle w:val="ARTartustawynprozporzdzenia"/>
              <w:spacing w:line="276" w:lineRule="auto"/>
              <w:ind w:left="993" w:hanging="425"/>
              <w:rPr>
                <w:rFonts w:ascii="Times New Roman" w:hAnsi="Times New Roman" w:cs="Times New Roman"/>
                <w:sz w:val="20"/>
              </w:rPr>
            </w:pPr>
            <w:r>
              <w:rPr>
                <w:rFonts w:ascii="Times New Roman" w:hAnsi="Times New Roman" w:cs="Times New Roman"/>
                <w:sz w:val="20"/>
              </w:rPr>
              <w:t>d</w:t>
            </w:r>
            <w:r w:rsidR="00C65BEE" w:rsidRPr="00541F1B">
              <w:rPr>
                <w:rFonts w:ascii="Times New Roman" w:hAnsi="Times New Roman" w:cs="Times New Roman"/>
                <w:sz w:val="20"/>
              </w:rPr>
              <w:t>)</w:t>
            </w:r>
            <w:r w:rsidR="00C65BEE" w:rsidRPr="00541F1B">
              <w:rPr>
                <w:rFonts w:ascii="Times New Roman" w:hAnsi="Times New Roman" w:cs="Times New Roman"/>
                <w:sz w:val="20"/>
              </w:rPr>
              <w:tab/>
              <w:t xml:space="preserve">jest wykonywana przy obiekcie budowlanym wpisanym do rejestru zabytków, </w:t>
            </w:r>
          </w:p>
          <w:p w:rsidR="00C65BEE" w:rsidRPr="00541F1B" w:rsidRDefault="002833C6" w:rsidP="00146D5E">
            <w:pPr>
              <w:pStyle w:val="ARTartustawynprozporzdzenia"/>
              <w:spacing w:line="276" w:lineRule="auto"/>
              <w:ind w:left="993" w:hanging="425"/>
              <w:rPr>
                <w:rFonts w:ascii="Times New Roman" w:hAnsi="Times New Roman" w:cs="Times New Roman"/>
                <w:sz w:val="20"/>
              </w:rPr>
            </w:pPr>
            <w:r>
              <w:rPr>
                <w:rFonts w:ascii="Times New Roman" w:hAnsi="Times New Roman" w:cs="Times New Roman"/>
                <w:sz w:val="20"/>
              </w:rPr>
              <w:t>e</w:t>
            </w:r>
            <w:r w:rsidR="00C65BEE" w:rsidRPr="00541F1B">
              <w:rPr>
                <w:rFonts w:ascii="Times New Roman" w:hAnsi="Times New Roman" w:cs="Times New Roman"/>
                <w:sz w:val="20"/>
              </w:rPr>
              <w:t>)</w:t>
            </w:r>
            <w:r w:rsidR="00C65BEE" w:rsidRPr="00541F1B">
              <w:rPr>
                <w:rFonts w:ascii="Times New Roman" w:hAnsi="Times New Roman" w:cs="Times New Roman"/>
                <w:sz w:val="20"/>
              </w:rPr>
              <w:tab/>
              <w:t>jest wykonywana na obszarze wpisanym do rejestru zabytków i dotyczy części zewnętrznej obiektu budowlanego lub prowadzi do zmiany zagospodarowania terenu,</w:t>
            </w:r>
          </w:p>
          <w:p w:rsidR="00C65BEE" w:rsidRPr="00541F1B" w:rsidRDefault="002833C6" w:rsidP="00146D5E">
            <w:pPr>
              <w:pStyle w:val="ARTartustawynprozporzdzenia"/>
              <w:spacing w:line="276" w:lineRule="auto"/>
              <w:ind w:left="993" w:hanging="425"/>
              <w:rPr>
                <w:rFonts w:ascii="Times New Roman" w:hAnsi="Times New Roman" w:cs="Times New Roman"/>
                <w:sz w:val="20"/>
              </w:rPr>
            </w:pPr>
            <w:r>
              <w:rPr>
                <w:rFonts w:ascii="Times New Roman" w:hAnsi="Times New Roman" w:cs="Times New Roman"/>
                <w:sz w:val="20"/>
              </w:rPr>
              <w:t>f</w:t>
            </w:r>
            <w:r w:rsidR="00C65BEE" w:rsidRPr="00541F1B">
              <w:rPr>
                <w:rFonts w:ascii="Times New Roman" w:hAnsi="Times New Roman" w:cs="Times New Roman"/>
                <w:sz w:val="20"/>
              </w:rPr>
              <w:t>)</w:t>
            </w:r>
            <w:r w:rsidR="00C65BEE" w:rsidRPr="00541F1B">
              <w:rPr>
                <w:rFonts w:ascii="Times New Roman" w:hAnsi="Times New Roman" w:cs="Times New Roman"/>
                <w:sz w:val="20"/>
              </w:rPr>
              <w:tab/>
              <w:t>dotyczy obiektu usługowego,</w:t>
            </w:r>
          </w:p>
          <w:p w:rsidR="00C65BEE" w:rsidRPr="00541F1B" w:rsidRDefault="00C65BEE" w:rsidP="00146D5E">
            <w:pPr>
              <w:pStyle w:val="ARTartustawynprozporzdzenia"/>
              <w:spacing w:line="276" w:lineRule="auto"/>
              <w:rPr>
                <w:rFonts w:ascii="Times New Roman" w:hAnsi="Times New Roman" w:cs="Times New Roman"/>
                <w:sz w:val="20"/>
              </w:rPr>
            </w:pPr>
            <w:r w:rsidRPr="00541F1B">
              <w:rPr>
                <w:rFonts w:ascii="Times New Roman" w:hAnsi="Times New Roman" w:cs="Times New Roman"/>
                <w:sz w:val="20"/>
              </w:rPr>
              <w:t>- zalicza się ją do kategorii 2;</w:t>
            </w:r>
          </w:p>
          <w:p w:rsidR="00C65BEE" w:rsidRPr="00541F1B" w:rsidRDefault="00C65BEE" w:rsidP="00146D5E">
            <w:pPr>
              <w:pStyle w:val="PKTpunkt"/>
              <w:spacing w:line="276" w:lineRule="auto"/>
              <w:rPr>
                <w:rFonts w:ascii="Times New Roman" w:hAnsi="Times New Roman"/>
                <w:sz w:val="20"/>
              </w:rPr>
            </w:pPr>
            <w:r w:rsidRPr="00541F1B">
              <w:rPr>
                <w:rFonts w:ascii="Times New Roman" w:hAnsi="Times New Roman"/>
                <w:sz w:val="20"/>
              </w:rPr>
              <w:t>3)</w:t>
            </w:r>
            <w:r w:rsidRPr="00541F1B">
              <w:rPr>
                <w:rFonts w:ascii="Times New Roman" w:hAnsi="Times New Roman"/>
                <w:sz w:val="20"/>
              </w:rPr>
              <w:tab/>
              <w:t xml:space="preserve">jeżeli inwestycja wymieniona w kategorii 1-3 stanowi budowę obiektu służącego przechowywaniu substancji niebezpiecznych, w szczególności silosu, elewatora, zbiornika do przechowywania paliw, gazów oraz innych produktów chemicznych, zalicza się ją do kategorii 4; </w:t>
            </w:r>
          </w:p>
          <w:p w:rsidR="00C65BEE" w:rsidRPr="00541F1B" w:rsidRDefault="00C65BEE" w:rsidP="00146D5E">
            <w:pPr>
              <w:pStyle w:val="PKTpunkt"/>
              <w:spacing w:line="276" w:lineRule="auto"/>
              <w:rPr>
                <w:rFonts w:ascii="Times New Roman" w:hAnsi="Times New Roman"/>
                <w:b/>
                <w:sz w:val="20"/>
              </w:rPr>
            </w:pPr>
            <w:r w:rsidRPr="00541F1B">
              <w:rPr>
                <w:rFonts w:ascii="Times New Roman" w:hAnsi="Times New Roman"/>
                <w:sz w:val="20"/>
              </w:rPr>
              <w:t>4)</w:t>
            </w:r>
            <w:r w:rsidRPr="00541F1B">
              <w:rPr>
                <w:rFonts w:ascii="Times New Roman" w:hAnsi="Times New Roman"/>
                <w:sz w:val="20"/>
              </w:rPr>
              <w:tab/>
              <w:t>jeżeli inwestycja wymieniona w kategorii 1-5 stanowi budowę obiektu budowlanego stwarzającego zagrożenie wystąpienia poważnej awarii przemysłowej, zalicza się ją do kategorii 6.</w:t>
            </w:r>
          </w:p>
          <w:p w:rsidR="00C65BEE" w:rsidRPr="00541F1B" w:rsidRDefault="00C65BEE" w:rsidP="00146D5E">
            <w:pPr>
              <w:pStyle w:val="ARTartustawynprozporzdzenia"/>
              <w:spacing w:line="276" w:lineRule="auto"/>
              <w:ind w:firstLine="0"/>
              <w:rPr>
                <w:rFonts w:ascii="Times New Roman" w:hAnsi="Times New Roman" w:cs="Times New Roman"/>
                <w:sz w:val="20"/>
              </w:rPr>
            </w:pPr>
            <w:r w:rsidRPr="00541F1B">
              <w:rPr>
                <w:rFonts w:ascii="Times New Roman" w:hAnsi="Times New Roman" w:cs="Times New Roman"/>
                <w:b/>
                <w:sz w:val="20"/>
              </w:rPr>
              <w:t>II</w:t>
            </w:r>
            <w:r w:rsidRPr="00541F1B">
              <w:rPr>
                <w:rFonts w:ascii="Times New Roman" w:hAnsi="Times New Roman" w:cs="Times New Roman"/>
                <w:sz w:val="20"/>
              </w:rPr>
              <w:t>. W przypadku rozbudowy lub nadbudowy budynku innego niż budynek mieszkalny wielorodzinny oraz budynek zamieszkania zbiorowego podstawą zaliczenia inwestycji do danej kategorii jest właściwa dla budowy budynku wielkość powierzchni całkowitej, jaką budynek ten uzyska po rozbudowie lub nadbudowie.</w:t>
            </w:r>
          </w:p>
          <w:p w:rsidR="00C65BEE" w:rsidRPr="00541F1B" w:rsidRDefault="00C65BEE" w:rsidP="00146D5E">
            <w:pPr>
              <w:pStyle w:val="ARTartustawynprozporzdzenia"/>
              <w:spacing w:line="276" w:lineRule="auto"/>
              <w:ind w:firstLine="0"/>
              <w:rPr>
                <w:rFonts w:ascii="Times New Roman" w:hAnsi="Times New Roman" w:cs="Times New Roman"/>
                <w:sz w:val="20"/>
              </w:rPr>
            </w:pPr>
            <w:r w:rsidRPr="00541F1B">
              <w:rPr>
                <w:rFonts w:ascii="Times New Roman" w:hAnsi="Times New Roman" w:cs="Times New Roman"/>
                <w:b/>
                <w:sz w:val="20"/>
              </w:rPr>
              <w:t>III.</w:t>
            </w:r>
            <w:r w:rsidRPr="00541F1B">
              <w:rPr>
                <w:rFonts w:ascii="Times New Roman" w:hAnsi="Times New Roman" w:cs="Times New Roman"/>
                <w:sz w:val="20"/>
              </w:rPr>
              <w:t xml:space="preserve"> Inwestycję rozbudowy budynku mieszkalnego wielorodzinnego lub budynku zamieszkania zbiorowego zalicza się do kategorii, w której budynek ten był budowany. </w:t>
            </w:r>
          </w:p>
          <w:p w:rsidR="00C65BEE" w:rsidRPr="00541F1B" w:rsidRDefault="00C65BEE" w:rsidP="00146D5E">
            <w:pPr>
              <w:pStyle w:val="ARTartustawynprozporzdzenia"/>
              <w:spacing w:line="276" w:lineRule="auto"/>
              <w:ind w:firstLine="0"/>
              <w:rPr>
                <w:rFonts w:ascii="Times New Roman" w:hAnsi="Times New Roman" w:cs="Times New Roman"/>
                <w:b/>
                <w:sz w:val="20"/>
              </w:rPr>
            </w:pPr>
            <w:r w:rsidRPr="00541F1B">
              <w:rPr>
                <w:rFonts w:ascii="Times New Roman" w:hAnsi="Times New Roman" w:cs="Times New Roman"/>
                <w:b/>
                <w:sz w:val="20"/>
              </w:rPr>
              <w:t>IV.</w:t>
            </w:r>
            <w:r w:rsidRPr="00541F1B">
              <w:rPr>
                <w:rFonts w:ascii="Times New Roman" w:hAnsi="Times New Roman" w:cs="Times New Roman"/>
                <w:sz w:val="20"/>
              </w:rPr>
              <w:t xml:space="preserve"> W przypadku nadbudowy budynku mieszkalnego wielorodzinnego lub budynku zamieszkania zbiorowego podstawą zaliczenia inwestycji do danej kategorii jest ilość kondygnacji, jaką budynek ten uzyska po nadbudowie. </w:t>
            </w:r>
          </w:p>
          <w:p w:rsidR="00C65BEE" w:rsidRPr="00541F1B" w:rsidRDefault="00C65BEE" w:rsidP="00146D5E">
            <w:pPr>
              <w:pStyle w:val="ARTartustawynprozporzdzenia"/>
              <w:spacing w:line="276" w:lineRule="auto"/>
              <w:ind w:firstLine="0"/>
              <w:rPr>
                <w:rFonts w:ascii="Times New Roman" w:hAnsi="Times New Roman" w:cs="Times New Roman"/>
                <w:sz w:val="20"/>
              </w:rPr>
            </w:pPr>
            <w:r w:rsidRPr="00541F1B">
              <w:rPr>
                <w:rFonts w:ascii="Times New Roman" w:hAnsi="Times New Roman" w:cs="Times New Roman"/>
                <w:b/>
                <w:sz w:val="20"/>
              </w:rPr>
              <w:t xml:space="preserve">V. </w:t>
            </w:r>
            <w:r w:rsidRPr="00541F1B">
              <w:rPr>
                <w:rFonts w:ascii="Times New Roman" w:hAnsi="Times New Roman" w:cs="Times New Roman"/>
                <w:sz w:val="20"/>
              </w:rPr>
              <w:t>W przypadku rozbudowy budowli podstawą zaliczenia inwestycji do danej kategorii jest właściwa dla budowy budowli powierzchnia zabudowy, jaką budowla ta uzyska po rozbudowie.</w:t>
            </w:r>
          </w:p>
          <w:p w:rsidR="00C65BEE" w:rsidRPr="00541F1B" w:rsidRDefault="00C65BEE" w:rsidP="00146D5E">
            <w:pPr>
              <w:pStyle w:val="ARTartustawynprozporzdzenia"/>
              <w:spacing w:line="276" w:lineRule="auto"/>
              <w:ind w:firstLine="0"/>
              <w:rPr>
                <w:rFonts w:ascii="Times New Roman" w:hAnsi="Times New Roman" w:cs="Times New Roman"/>
                <w:sz w:val="20"/>
              </w:rPr>
            </w:pPr>
            <w:r w:rsidRPr="00541F1B">
              <w:rPr>
                <w:rFonts w:ascii="Times New Roman" w:hAnsi="Times New Roman" w:cs="Times New Roman"/>
                <w:b/>
                <w:sz w:val="20"/>
              </w:rPr>
              <w:lastRenderedPageBreak/>
              <w:t>VI.</w:t>
            </w:r>
            <w:r w:rsidRPr="00541F1B">
              <w:rPr>
                <w:rFonts w:ascii="Times New Roman" w:hAnsi="Times New Roman" w:cs="Times New Roman"/>
                <w:sz w:val="20"/>
              </w:rPr>
              <w:t xml:space="preserve"> W przypadku nadbudowy budowli podstawą zaliczenia inwestycji do danej kategorii jest właściwa dla budowy budowli wysokość całkowita, jaką budowla ta uzyska po nadbudowie.</w:t>
            </w:r>
          </w:p>
          <w:p w:rsidR="00C65BEE" w:rsidRPr="00541F1B" w:rsidRDefault="00C65BEE" w:rsidP="00146D5E">
            <w:pPr>
              <w:pStyle w:val="ARTartustawynprozporzdzenia"/>
              <w:spacing w:line="276" w:lineRule="auto"/>
              <w:ind w:firstLine="0"/>
              <w:rPr>
                <w:rStyle w:val="Ppogrubienie"/>
                <w:rFonts w:ascii="Times New Roman" w:hAnsi="Times New Roman" w:cs="Times New Roman"/>
                <w:sz w:val="20"/>
              </w:rPr>
            </w:pPr>
            <w:r w:rsidRPr="00541F1B">
              <w:rPr>
                <w:rFonts w:ascii="Times New Roman" w:hAnsi="Times New Roman" w:cs="Times New Roman"/>
                <w:b/>
                <w:sz w:val="20"/>
              </w:rPr>
              <w:t>VII.</w:t>
            </w:r>
            <w:r w:rsidRPr="00541F1B">
              <w:rPr>
                <w:rFonts w:ascii="Times New Roman" w:hAnsi="Times New Roman" w:cs="Times New Roman"/>
                <w:sz w:val="20"/>
              </w:rPr>
              <w:t xml:space="preserve"> Inwestycję rozbudowy lub nadbudowy obiektu małej architektury zalicza się do kategorii właściwej dla jego budowy, pod warunkiem, że po rozbudowie lub nadbudowie obiekt ten nadal będzie stanowił obiekt małej architektury. W przeciwnym wypadku rozbudowę lub nadbudowę obiektu małej architektury należy kwalifikować jako rozbudowę lub nadbudowę budowli.</w:t>
            </w:r>
          </w:p>
          <w:p w:rsidR="00C65BEE" w:rsidRPr="00541F1B" w:rsidRDefault="00C65BEE" w:rsidP="00146D5E">
            <w:pPr>
              <w:pStyle w:val="USTustnpkodeksu"/>
              <w:tabs>
                <w:tab w:val="left" w:pos="6551"/>
              </w:tabs>
              <w:spacing w:line="276" w:lineRule="auto"/>
              <w:ind w:firstLine="0"/>
              <w:rPr>
                <w:color w:val="000000"/>
                <w:sz w:val="20"/>
              </w:rPr>
            </w:pPr>
          </w:p>
        </w:tc>
      </w:tr>
      <w:tr w:rsidR="00C65BEE" w:rsidRPr="00362CEA" w:rsidTr="00146D5E">
        <w:tc>
          <w:tcPr>
            <w:tcW w:w="534" w:type="dxa"/>
          </w:tcPr>
          <w:p w:rsidR="00C65BEE" w:rsidRPr="007100D7" w:rsidRDefault="00C65BEE" w:rsidP="00146D5E">
            <w:pPr>
              <w:pStyle w:val="USTustnpkodeksu"/>
              <w:tabs>
                <w:tab w:val="left" w:pos="6551"/>
              </w:tabs>
              <w:spacing w:line="276" w:lineRule="auto"/>
              <w:ind w:firstLine="0"/>
              <w:jc w:val="left"/>
              <w:rPr>
                <w:rFonts w:ascii="Times New Roman" w:hAnsi="Times New Roman" w:cs="Times New Roman"/>
                <w:b/>
                <w:color w:val="000000"/>
                <w:sz w:val="20"/>
              </w:rPr>
            </w:pPr>
            <w:r w:rsidRPr="007100D7">
              <w:rPr>
                <w:rFonts w:ascii="Times New Roman" w:hAnsi="Times New Roman" w:cs="Times New Roman"/>
                <w:b/>
                <w:color w:val="000000"/>
                <w:sz w:val="20"/>
              </w:rPr>
              <w:lastRenderedPageBreak/>
              <w:t>Lp.</w:t>
            </w:r>
          </w:p>
        </w:tc>
        <w:tc>
          <w:tcPr>
            <w:tcW w:w="1985" w:type="dxa"/>
          </w:tcPr>
          <w:p w:rsidR="00C65BEE" w:rsidRPr="007100D7" w:rsidRDefault="00C65BEE" w:rsidP="00146D5E">
            <w:pPr>
              <w:pStyle w:val="USTustnpkodeksu"/>
              <w:tabs>
                <w:tab w:val="left" w:pos="6551"/>
              </w:tabs>
              <w:spacing w:line="276" w:lineRule="auto"/>
              <w:ind w:firstLine="0"/>
              <w:rPr>
                <w:rFonts w:ascii="Times New Roman" w:hAnsi="Times New Roman" w:cs="Times New Roman"/>
                <w:b/>
                <w:color w:val="000000"/>
                <w:sz w:val="20"/>
              </w:rPr>
            </w:pPr>
            <w:r w:rsidRPr="007100D7">
              <w:rPr>
                <w:rFonts w:ascii="Times New Roman" w:hAnsi="Times New Roman" w:cs="Times New Roman"/>
                <w:b/>
                <w:color w:val="000000"/>
                <w:sz w:val="20"/>
              </w:rPr>
              <w:t>Rodzaj inwestycji</w:t>
            </w:r>
          </w:p>
        </w:tc>
        <w:tc>
          <w:tcPr>
            <w:tcW w:w="1985" w:type="dxa"/>
          </w:tcPr>
          <w:p w:rsidR="00C65BEE" w:rsidRPr="007100D7" w:rsidRDefault="00C65BEE" w:rsidP="00146D5E">
            <w:pPr>
              <w:pStyle w:val="USTustnpkodeksu"/>
              <w:tabs>
                <w:tab w:val="left" w:pos="6551"/>
              </w:tabs>
              <w:spacing w:line="276" w:lineRule="auto"/>
              <w:ind w:firstLine="0"/>
              <w:rPr>
                <w:rFonts w:ascii="Times New Roman" w:hAnsi="Times New Roman" w:cs="Times New Roman"/>
                <w:b/>
                <w:color w:val="000000"/>
                <w:sz w:val="20"/>
              </w:rPr>
            </w:pPr>
            <w:r w:rsidRPr="007100D7">
              <w:rPr>
                <w:rFonts w:ascii="Times New Roman" w:hAnsi="Times New Roman" w:cs="Times New Roman"/>
                <w:b/>
                <w:color w:val="000000"/>
                <w:sz w:val="20"/>
              </w:rPr>
              <w:t>Kategoria 1</w:t>
            </w:r>
          </w:p>
        </w:tc>
        <w:tc>
          <w:tcPr>
            <w:tcW w:w="1985" w:type="dxa"/>
          </w:tcPr>
          <w:p w:rsidR="00C65BEE" w:rsidRPr="007100D7" w:rsidRDefault="00C65BEE" w:rsidP="00146D5E">
            <w:pPr>
              <w:pStyle w:val="USTustnpkodeksu"/>
              <w:tabs>
                <w:tab w:val="left" w:pos="6551"/>
              </w:tabs>
              <w:spacing w:line="276" w:lineRule="auto"/>
              <w:ind w:firstLine="0"/>
              <w:rPr>
                <w:rFonts w:ascii="Times New Roman" w:hAnsi="Times New Roman" w:cs="Times New Roman"/>
                <w:b/>
                <w:color w:val="000000"/>
                <w:sz w:val="20"/>
              </w:rPr>
            </w:pPr>
            <w:r w:rsidRPr="007100D7">
              <w:rPr>
                <w:rFonts w:ascii="Times New Roman" w:hAnsi="Times New Roman" w:cs="Times New Roman"/>
                <w:b/>
                <w:color w:val="000000"/>
                <w:sz w:val="20"/>
              </w:rPr>
              <w:t>Kategoria 2</w:t>
            </w:r>
          </w:p>
        </w:tc>
        <w:tc>
          <w:tcPr>
            <w:tcW w:w="1985" w:type="dxa"/>
          </w:tcPr>
          <w:p w:rsidR="00C65BEE" w:rsidRPr="007100D7" w:rsidRDefault="00C65BEE" w:rsidP="00146D5E">
            <w:pPr>
              <w:pStyle w:val="USTustnpkodeksu"/>
              <w:tabs>
                <w:tab w:val="left" w:pos="6551"/>
              </w:tabs>
              <w:spacing w:line="276" w:lineRule="auto"/>
              <w:ind w:firstLine="0"/>
              <w:rPr>
                <w:rFonts w:ascii="Times New Roman" w:hAnsi="Times New Roman" w:cs="Times New Roman"/>
                <w:b/>
                <w:color w:val="000000"/>
                <w:sz w:val="20"/>
              </w:rPr>
            </w:pPr>
            <w:r w:rsidRPr="007100D7">
              <w:rPr>
                <w:rFonts w:ascii="Times New Roman" w:hAnsi="Times New Roman" w:cs="Times New Roman"/>
                <w:b/>
                <w:color w:val="000000"/>
                <w:sz w:val="20"/>
              </w:rPr>
              <w:t>Kategoria 3</w:t>
            </w:r>
          </w:p>
        </w:tc>
        <w:tc>
          <w:tcPr>
            <w:tcW w:w="1985" w:type="dxa"/>
          </w:tcPr>
          <w:p w:rsidR="00C65BEE" w:rsidRPr="007100D7" w:rsidRDefault="00C65BEE" w:rsidP="00146D5E">
            <w:pPr>
              <w:pStyle w:val="USTustnpkodeksu"/>
              <w:tabs>
                <w:tab w:val="left" w:pos="6551"/>
              </w:tabs>
              <w:spacing w:line="276" w:lineRule="auto"/>
              <w:ind w:firstLine="0"/>
              <w:rPr>
                <w:rFonts w:ascii="Times New Roman" w:hAnsi="Times New Roman" w:cs="Times New Roman"/>
                <w:b/>
                <w:color w:val="000000"/>
                <w:sz w:val="20"/>
              </w:rPr>
            </w:pPr>
            <w:r w:rsidRPr="007100D7">
              <w:rPr>
                <w:rFonts w:ascii="Times New Roman" w:hAnsi="Times New Roman" w:cs="Times New Roman"/>
                <w:b/>
                <w:color w:val="000000"/>
                <w:sz w:val="20"/>
              </w:rPr>
              <w:t>Kategoria 4</w:t>
            </w:r>
          </w:p>
        </w:tc>
        <w:tc>
          <w:tcPr>
            <w:tcW w:w="1985" w:type="dxa"/>
          </w:tcPr>
          <w:p w:rsidR="00C65BEE" w:rsidRPr="007100D7" w:rsidRDefault="00C65BEE" w:rsidP="00146D5E">
            <w:pPr>
              <w:pStyle w:val="USTustnpkodeksu"/>
              <w:tabs>
                <w:tab w:val="left" w:pos="6551"/>
              </w:tabs>
              <w:spacing w:line="276" w:lineRule="auto"/>
              <w:ind w:firstLine="0"/>
              <w:rPr>
                <w:rFonts w:ascii="Times New Roman" w:hAnsi="Times New Roman" w:cs="Times New Roman"/>
                <w:b/>
                <w:color w:val="000000"/>
                <w:sz w:val="20"/>
              </w:rPr>
            </w:pPr>
            <w:r w:rsidRPr="007100D7">
              <w:rPr>
                <w:rFonts w:ascii="Times New Roman" w:hAnsi="Times New Roman" w:cs="Times New Roman"/>
                <w:b/>
                <w:color w:val="000000"/>
                <w:sz w:val="20"/>
              </w:rPr>
              <w:t>Kategoria 5</w:t>
            </w:r>
          </w:p>
        </w:tc>
        <w:tc>
          <w:tcPr>
            <w:tcW w:w="1985" w:type="dxa"/>
          </w:tcPr>
          <w:p w:rsidR="00C65BEE" w:rsidRPr="007100D7" w:rsidRDefault="00C65BEE" w:rsidP="00146D5E">
            <w:pPr>
              <w:pStyle w:val="USTustnpkodeksu"/>
              <w:tabs>
                <w:tab w:val="left" w:pos="6551"/>
              </w:tabs>
              <w:spacing w:line="276" w:lineRule="auto"/>
              <w:ind w:firstLine="0"/>
              <w:rPr>
                <w:rFonts w:ascii="Times New Roman" w:hAnsi="Times New Roman" w:cs="Times New Roman"/>
                <w:b/>
                <w:color w:val="000000"/>
                <w:sz w:val="20"/>
              </w:rPr>
            </w:pPr>
            <w:r w:rsidRPr="007100D7">
              <w:rPr>
                <w:rFonts w:ascii="Times New Roman" w:hAnsi="Times New Roman" w:cs="Times New Roman"/>
                <w:b/>
                <w:color w:val="000000"/>
                <w:sz w:val="20"/>
              </w:rPr>
              <w:t>Kategoria 6</w:t>
            </w: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1</w:t>
            </w:r>
          </w:p>
        </w:tc>
        <w:tc>
          <w:tcPr>
            <w:tcW w:w="1985" w:type="dxa"/>
            <w:gridSpan w:val="7"/>
          </w:tcPr>
          <w:p w:rsidR="00C65BEE" w:rsidRPr="00541F1B" w:rsidRDefault="00C65BEE" w:rsidP="00146D5E">
            <w:pPr>
              <w:pStyle w:val="USTustnpkodeksu"/>
              <w:tabs>
                <w:tab w:val="left" w:pos="6551"/>
              </w:tabs>
              <w:spacing w:line="276" w:lineRule="auto"/>
              <w:ind w:firstLine="0"/>
              <w:jc w:val="center"/>
              <w:rPr>
                <w:rFonts w:ascii="Times New Roman" w:hAnsi="Times New Roman" w:cs="Times New Roman"/>
                <w:b/>
                <w:color w:val="000000"/>
                <w:sz w:val="20"/>
              </w:rPr>
            </w:pPr>
            <w:r w:rsidRPr="00541F1B">
              <w:rPr>
                <w:rFonts w:ascii="Times New Roman" w:hAnsi="Times New Roman" w:cs="Times New Roman"/>
                <w:b/>
                <w:color w:val="000000"/>
                <w:sz w:val="20"/>
              </w:rPr>
              <w:t>Budynki</w:t>
            </w: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jc w:val="left"/>
              <w:rPr>
                <w:rFonts w:ascii="Times New Roman" w:hAnsi="Times New Roman" w:cs="Times New Roman"/>
                <w:color w:val="000000"/>
                <w:sz w:val="20"/>
              </w:rPr>
            </w:pPr>
            <w:r w:rsidRPr="00541F1B">
              <w:rPr>
                <w:rFonts w:ascii="Times New Roman" w:hAnsi="Times New Roman" w:cs="Times New Roman"/>
                <w:color w:val="000000"/>
                <w:sz w:val="20"/>
              </w:rPr>
              <w:t>1.1</w:t>
            </w:r>
          </w:p>
        </w:tc>
        <w:tc>
          <w:tcPr>
            <w:tcW w:w="1985" w:type="dxa"/>
          </w:tcPr>
          <w:p w:rsidR="00C65BEE" w:rsidRPr="00541F1B" w:rsidRDefault="00C65BEE" w:rsidP="00146D5E">
            <w:pPr>
              <w:pStyle w:val="USTustnpkodeksu"/>
              <w:tabs>
                <w:tab w:val="left" w:pos="6551"/>
              </w:tabs>
              <w:spacing w:line="276" w:lineRule="auto"/>
              <w:ind w:firstLine="0"/>
              <w:jc w:val="left"/>
              <w:rPr>
                <w:rFonts w:ascii="Times New Roman" w:hAnsi="Times New Roman" w:cs="Times New Roman"/>
                <w:b/>
                <w:color w:val="000000"/>
                <w:sz w:val="20"/>
              </w:rPr>
            </w:pPr>
            <w:r w:rsidRPr="00541F1B">
              <w:rPr>
                <w:rFonts w:ascii="Times New Roman" w:hAnsi="Times New Roman" w:cs="Times New Roman"/>
                <w:b/>
                <w:color w:val="000000"/>
                <w:sz w:val="20"/>
              </w:rPr>
              <w:t xml:space="preserve">Budowa </w:t>
            </w:r>
          </w:p>
          <w:p w:rsidR="00C65BEE" w:rsidRPr="00541F1B" w:rsidRDefault="00C65BEE" w:rsidP="00146D5E">
            <w:pPr>
              <w:pStyle w:val="USTustnpkodeksu"/>
              <w:tabs>
                <w:tab w:val="left" w:pos="6551"/>
              </w:tabs>
              <w:spacing w:line="276" w:lineRule="auto"/>
              <w:ind w:firstLine="0"/>
              <w:jc w:val="left"/>
              <w:rPr>
                <w:rFonts w:ascii="Times New Roman" w:hAnsi="Times New Roman" w:cs="Times New Roman"/>
                <w:color w:val="000000"/>
                <w:sz w:val="20"/>
              </w:rPr>
            </w:pPr>
            <w:r w:rsidRPr="00541F1B">
              <w:rPr>
                <w:rFonts w:ascii="Times New Roman" w:hAnsi="Times New Roman" w:cs="Times New Roman"/>
                <w:b/>
                <w:color w:val="000000"/>
                <w:sz w:val="20"/>
              </w:rPr>
              <w:t>(w tym nadbudowa i rozbudowa)</w:t>
            </w:r>
          </w:p>
        </w:tc>
        <w:tc>
          <w:tcPr>
            <w:tcW w:w="1985" w:type="dxa"/>
          </w:tcPr>
          <w:p w:rsidR="00C65BEE" w:rsidRPr="00541F1B" w:rsidRDefault="00C65BEE" w:rsidP="00146D5E">
            <w:pPr>
              <w:pStyle w:val="USTustnpkodeksu"/>
              <w:tabs>
                <w:tab w:val="left" w:pos="6551"/>
              </w:tabs>
              <w:spacing w:line="276" w:lineRule="auto"/>
              <w:ind w:firstLine="0"/>
              <w:jc w:val="left"/>
              <w:rPr>
                <w:rFonts w:ascii="Times New Roman" w:hAnsi="Times New Roman" w:cs="Times New Roman"/>
                <w:color w:val="000000"/>
                <w:sz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Budynek letniskowy do 35m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Budynek pomocniczy do 35m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3. Budynek produkcyjny do 35m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4. Budynek usługowy do 35m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5. Rozbudowa polegająca na zabudowie  balkonu, tarasu lub loggii.</w:t>
            </w:r>
          </w:p>
          <w:p w:rsidR="00C65BEE" w:rsidRPr="00541F1B" w:rsidRDefault="00C65BEE" w:rsidP="00146D5E">
            <w:pPr>
              <w:keepLines/>
              <w:spacing w:after="0"/>
              <w:rPr>
                <w:rFonts w:ascii="Times New Roman" w:hAnsi="Times New Roman" w:cs="Times New Roman"/>
                <w:color w:val="000000"/>
                <w:sz w:val="20"/>
                <w:szCs w:val="20"/>
              </w:rPr>
            </w:pPr>
          </w:p>
          <w:p w:rsidR="00C65BEE" w:rsidRPr="00541F1B" w:rsidRDefault="00C65BEE" w:rsidP="00146D5E">
            <w:pPr>
              <w:keepLines/>
              <w:spacing w:after="0"/>
              <w:rPr>
                <w:rFonts w:ascii="Times New Roman" w:hAnsi="Times New Roman" w:cs="Times New Roman"/>
                <w:color w:val="000000"/>
                <w:sz w:val="20"/>
                <w:szCs w:val="20"/>
              </w:rPr>
            </w:pPr>
          </w:p>
          <w:p w:rsidR="00C65BEE" w:rsidRPr="00541F1B" w:rsidRDefault="00C65BEE" w:rsidP="00146D5E">
            <w:pPr>
              <w:keepLines/>
              <w:spacing w:after="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Budynek letniskowy powyżej 35m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70m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Budynek inwentarski do 70m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3. Budynek pomocniczy powyżej 35m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70m</w:t>
            </w:r>
            <w:r w:rsidRPr="00006B96">
              <w:rPr>
                <w:rFonts w:ascii="Times New Roman" w:hAnsi="Times New Roman" w:cs="Times New Roman"/>
                <w:color w:val="000000"/>
                <w:sz w:val="20"/>
                <w:szCs w:val="20"/>
                <w:vertAlign w:val="superscript"/>
              </w:rPr>
              <w:t xml:space="preserve">2 </w:t>
            </w:r>
            <w:r w:rsidR="00006B96">
              <w:rPr>
                <w:rFonts w:ascii="Times New Roman" w:hAnsi="Times New Roman" w:cs="Times New Roman"/>
                <w:color w:val="000000"/>
                <w:sz w:val="20"/>
                <w:szCs w:val="20"/>
              </w:rPr>
              <w:t>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4. Budynek produkcyjny powyżej 35m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70m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5. Budynek  usługowy   powyżej 35m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70m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powierzchni </w:t>
            </w:r>
            <w:r w:rsidRPr="00541F1B">
              <w:rPr>
                <w:rFonts w:ascii="Times New Roman" w:hAnsi="Times New Roman" w:cs="Times New Roman"/>
                <w:color w:val="000000"/>
                <w:sz w:val="20"/>
                <w:szCs w:val="20"/>
              </w:rPr>
              <w:lastRenderedPageBreak/>
              <w:t>całkowitej.</w:t>
            </w:r>
          </w:p>
          <w:p w:rsidR="00C65BEE" w:rsidRPr="00541F1B" w:rsidRDefault="00C65BEE" w:rsidP="00146D5E">
            <w:pPr>
              <w:keepLines/>
              <w:spacing w:after="12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 xml:space="preserve">1. Budynek mieszkalny jednorodzinny, </w:t>
            </w:r>
            <w:r>
              <w:rPr>
                <w:rFonts w:ascii="Times New Roman" w:hAnsi="Times New Roman" w:cs="Times New Roman"/>
                <w:color w:val="000000"/>
                <w:sz w:val="20"/>
                <w:szCs w:val="20"/>
              </w:rPr>
              <w:t>wolnostojący lub w zabudowie bliźniaczej</w:t>
            </w:r>
            <w:r w:rsidR="00006B96">
              <w:rPr>
                <w:rFonts w:ascii="Times New Roman" w:hAnsi="Times New Roman" w:cs="Times New Roman"/>
                <w:color w:val="000000"/>
                <w:sz w:val="20"/>
                <w:szCs w:val="20"/>
              </w:rPr>
              <w:t>.</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Budynek letniskowy powyżej 70m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3. Budynek inwentarski powyżej 70m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250m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4. Budynek pomocniczy powyżej 70m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250m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5. Budynek produkcyjny powyżej 70m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250m</w:t>
            </w:r>
            <w:r w:rsidRPr="00006B96">
              <w:rPr>
                <w:rFonts w:ascii="Times New Roman" w:hAnsi="Times New Roman" w:cs="Times New Roman"/>
                <w:color w:val="000000"/>
                <w:sz w:val="20"/>
                <w:szCs w:val="20"/>
                <w:vertAlign w:val="superscript"/>
              </w:rPr>
              <w:t xml:space="preserve">2 </w:t>
            </w:r>
            <w:r w:rsidR="00006B96">
              <w:rPr>
                <w:rFonts w:ascii="Times New Roman" w:hAnsi="Times New Roman" w:cs="Times New Roman"/>
                <w:color w:val="000000"/>
                <w:sz w:val="20"/>
                <w:szCs w:val="20"/>
              </w:rPr>
              <w:lastRenderedPageBreak/>
              <w:t>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 xml:space="preserve">6. Budynek  </w:t>
            </w:r>
            <w:r w:rsidRPr="00541F1B">
              <w:rPr>
                <w:rFonts w:ascii="Times New Roman" w:hAnsi="Times New Roman" w:cs="Times New Roman"/>
                <w:sz w:val="20"/>
                <w:szCs w:val="20"/>
              </w:rPr>
              <w:t xml:space="preserve"> usługowy</w:t>
            </w:r>
            <w:r w:rsidRPr="00541F1B">
              <w:rPr>
                <w:rFonts w:ascii="Times New Roman" w:hAnsi="Times New Roman" w:cs="Times New Roman"/>
                <w:color w:val="000000"/>
                <w:sz w:val="20"/>
                <w:szCs w:val="20"/>
              </w:rPr>
              <w:t xml:space="preserve">   powyżej 70m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250m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powierzchni całkowitej.</w:t>
            </w:r>
          </w:p>
          <w:p w:rsidR="00C65BEE" w:rsidRPr="00541F1B" w:rsidRDefault="00C65BEE" w:rsidP="00146D5E">
            <w:pPr>
              <w:keepLines/>
              <w:spacing w:after="0"/>
              <w:rPr>
                <w:rFonts w:ascii="Times New Roman" w:hAnsi="Times New Roman" w:cs="Times New Roman"/>
                <w:color w:val="000000"/>
                <w:sz w:val="20"/>
                <w:szCs w:val="20"/>
              </w:rPr>
            </w:pPr>
          </w:p>
          <w:p w:rsidR="00C65BEE" w:rsidRPr="00541F1B" w:rsidRDefault="00C65BEE" w:rsidP="00146D5E">
            <w:pPr>
              <w:keepLines/>
              <w:spacing w:after="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 xml:space="preserve">1. Budynek mieszkalny jednorodzinny </w:t>
            </w:r>
            <w:r>
              <w:rPr>
                <w:rFonts w:ascii="Times New Roman" w:hAnsi="Times New Roman" w:cs="Times New Roman"/>
                <w:color w:val="000000"/>
                <w:sz w:val="20"/>
                <w:szCs w:val="20"/>
              </w:rPr>
              <w:t>niezaliczony do kategorii 4</w:t>
            </w:r>
            <w:r w:rsidRPr="00541F1B">
              <w:rPr>
                <w:rFonts w:ascii="Times New Roman" w:hAnsi="Times New Roman" w:cs="Times New Roman"/>
                <w:color w:val="000000"/>
                <w:sz w:val="20"/>
                <w:szCs w:val="20"/>
              </w:rPr>
              <w:t>.</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 xml:space="preserve">2. Budynek mieszkalny </w:t>
            </w:r>
            <w:r w:rsidR="00006B96">
              <w:rPr>
                <w:rFonts w:ascii="Times New Roman" w:hAnsi="Times New Roman" w:cs="Times New Roman"/>
                <w:color w:val="000000"/>
                <w:sz w:val="20"/>
                <w:szCs w:val="20"/>
              </w:rPr>
              <w:t>wielorodzinny do 10 kondygnacji.</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3. Budynek inwentarski powyżej 250m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4. Budynek pomocniczy powyżej 250m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5. Budynek produkcyjny powyżej 250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1000m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 xml:space="preserve">6. Budynek  </w:t>
            </w:r>
            <w:r w:rsidRPr="00541F1B">
              <w:rPr>
                <w:rFonts w:ascii="Times New Roman" w:hAnsi="Times New Roman" w:cs="Times New Roman"/>
                <w:sz w:val="20"/>
                <w:szCs w:val="20"/>
              </w:rPr>
              <w:t xml:space="preserve"> usługowy</w:t>
            </w:r>
            <w:r w:rsidR="002833C6">
              <w:rPr>
                <w:rFonts w:ascii="Times New Roman" w:hAnsi="Times New Roman" w:cs="Times New Roman"/>
                <w:sz w:val="20"/>
                <w:szCs w:val="20"/>
              </w:rPr>
              <w:t xml:space="preserve"> </w:t>
            </w:r>
            <w:r w:rsidRPr="00541F1B">
              <w:rPr>
                <w:rFonts w:ascii="Times New Roman" w:hAnsi="Times New Roman" w:cs="Times New Roman"/>
                <w:color w:val="000000"/>
                <w:sz w:val="20"/>
                <w:szCs w:val="20"/>
              </w:rPr>
              <w:t>powyżej 250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1000m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7.  Budynek zamieszkania zbiorowego do 10 kondygnacji.</w:t>
            </w:r>
          </w:p>
        </w:tc>
        <w:tc>
          <w:tcPr>
            <w:tcW w:w="1985" w:type="dxa"/>
          </w:tcPr>
          <w:p w:rsidR="00C65BEE" w:rsidRPr="003B1514" w:rsidRDefault="00C65BEE" w:rsidP="00146D5E">
            <w:pPr>
              <w:keepLines/>
              <w:spacing w:after="120"/>
              <w:rPr>
                <w:rFonts w:ascii="Times New Roman" w:hAnsi="Times New Roman" w:cs="Times New Roman"/>
                <w:color w:val="000000"/>
                <w:sz w:val="20"/>
                <w:szCs w:val="20"/>
              </w:rPr>
            </w:pPr>
            <w:r w:rsidRPr="003B1514">
              <w:rPr>
                <w:rFonts w:ascii="Times New Roman" w:hAnsi="Times New Roman" w:cs="Times New Roman"/>
                <w:color w:val="000000"/>
                <w:sz w:val="20"/>
                <w:szCs w:val="20"/>
              </w:rPr>
              <w:lastRenderedPageBreak/>
              <w:t>1. Budynek mieszkalny wielo</w:t>
            </w:r>
            <w:r w:rsidR="00006B96">
              <w:rPr>
                <w:rFonts w:ascii="Times New Roman" w:hAnsi="Times New Roman" w:cs="Times New Roman"/>
                <w:color w:val="000000"/>
                <w:sz w:val="20"/>
                <w:szCs w:val="20"/>
              </w:rPr>
              <w:t>rodzinny powyżej 10 kondygnacji.</w:t>
            </w:r>
          </w:p>
          <w:p w:rsidR="00C65BEE" w:rsidRPr="003408A2" w:rsidRDefault="00C65BEE" w:rsidP="00146D5E">
            <w:pPr>
              <w:keepLines/>
              <w:spacing w:after="120"/>
              <w:rPr>
                <w:rFonts w:ascii="Times New Roman" w:hAnsi="Times New Roman" w:cs="Times New Roman"/>
                <w:color w:val="000000"/>
                <w:sz w:val="20"/>
                <w:szCs w:val="20"/>
              </w:rPr>
            </w:pPr>
            <w:r w:rsidRPr="003B1514">
              <w:rPr>
                <w:rFonts w:ascii="Times New Roman" w:hAnsi="Times New Roman" w:cs="Times New Roman"/>
                <w:color w:val="000000"/>
                <w:sz w:val="20"/>
                <w:szCs w:val="20"/>
              </w:rPr>
              <w:t>2. Budynek produkcyjny powyżej 1000m</w:t>
            </w:r>
            <w:r w:rsidRPr="00006B96">
              <w:rPr>
                <w:rFonts w:ascii="Times New Roman" w:hAnsi="Times New Roman" w:cs="Times New Roman"/>
                <w:color w:val="000000"/>
                <w:sz w:val="20"/>
                <w:szCs w:val="20"/>
                <w:vertAlign w:val="superscript"/>
              </w:rPr>
              <w:t>2</w:t>
            </w:r>
            <w:r w:rsidRPr="003B1514">
              <w:rPr>
                <w:rFonts w:ascii="Times New Roman" w:hAnsi="Times New Roman" w:cs="Times New Roman"/>
                <w:color w:val="000000"/>
                <w:sz w:val="20"/>
                <w:szCs w:val="20"/>
              </w:rPr>
              <w:t xml:space="preserve"> powierzchni </w:t>
            </w:r>
            <w:r w:rsidR="00006B96">
              <w:rPr>
                <w:rFonts w:ascii="Times New Roman" w:hAnsi="Times New Roman" w:cs="Times New Roman"/>
                <w:color w:val="000000"/>
                <w:sz w:val="20"/>
                <w:szCs w:val="20"/>
              </w:rPr>
              <w:t>całkowitej.</w:t>
            </w:r>
          </w:p>
          <w:p w:rsidR="00C65BEE" w:rsidRPr="003B1514" w:rsidRDefault="00C65BEE" w:rsidP="00146D5E">
            <w:pPr>
              <w:keepLines/>
              <w:spacing w:after="120"/>
              <w:rPr>
                <w:rFonts w:ascii="Times New Roman" w:hAnsi="Times New Roman" w:cs="Times New Roman"/>
                <w:color w:val="000000"/>
                <w:sz w:val="20"/>
                <w:szCs w:val="20"/>
              </w:rPr>
            </w:pPr>
            <w:r w:rsidRPr="003408A2">
              <w:rPr>
                <w:rFonts w:ascii="Times New Roman" w:hAnsi="Times New Roman" w:cs="Times New Roman"/>
                <w:color w:val="000000"/>
                <w:sz w:val="20"/>
                <w:szCs w:val="20"/>
              </w:rPr>
              <w:t xml:space="preserve">3. Budynek  </w:t>
            </w:r>
            <w:r w:rsidRPr="004C50C3">
              <w:rPr>
                <w:rFonts w:ascii="Times New Roman" w:hAnsi="Times New Roman" w:cs="Times New Roman"/>
                <w:sz w:val="20"/>
                <w:szCs w:val="20"/>
              </w:rPr>
              <w:t xml:space="preserve"> usługowy</w:t>
            </w:r>
            <w:r w:rsidR="002833C6">
              <w:rPr>
                <w:rFonts w:ascii="Times New Roman" w:hAnsi="Times New Roman" w:cs="Times New Roman"/>
                <w:sz w:val="20"/>
                <w:szCs w:val="20"/>
              </w:rPr>
              <w:t xml:space="preserve"> </w:t>
            </w:r>
            <w:r w:rsidRPr="003B1514">
              <w:rPr>
                <w:rFonts w:ascii="Times New Roman" w:hAnsi="Times New Roman" w:cs="Times New Roman"/>
                <w:color w:val="000000"/>
                <w:sz w:val="20"/>
                <w:szCs w:val="20"/>
              </w:rPr>
              <w:t>powyżej 1000m</w:t>
            </w:r>
            <w:r w:rsidRPr="00006B96">
              <w:rPr>
                <w:rFonts w:ascii="Times New Roman" w:hAnsi="Times New Roman" w:cs="Times New Roman"/>
                <w:color w:val="000000"/>
                <w:sz w:val="20"/>
                <w:szCs w:val="20"/>
                <w:vertAlign w:val="superscript"/>
              </w:rPr>
              <w:t>2</w:t>
            </w:r>
            <w:r w:rsidR="00006B96">
              <w:rPr>
                <w:rFonts w:ascii="Times New Roman" w:hAnsi="Times New Roman" w:cs="Times New Roman"/>
                <w:color w:val="000000"/>
                <w:sz w:val="20"/>
                <w:szCs w:val="20"/>
              </w:rPr>
              <w:t xml:space="preserve"> powierzchni całkowitej.</w:t>
            </w:r>
          </w:p>
          <w:p w:rsidR="00C65BEE" w:rsidRPr="003B1514" w:rsidRDefault="00C65BEE" w:rsidP="00146D5E">
            <w:pPr>
              <w:keepLines/>
              <w:spacing w:after="120"/>
              <w:rPr>
                <w:rFonts w:ascii="Times New Roman" w:hAnsi="Times New Roman" w:cs="Times New Roman"/>
                <w:color w:val="000000"/>
                <w:sz w:val="20"/>
                <w:szCs w:val="20"/>
              </w:rPr>
            </w:pPr>
            <w:r w:rsidRPr="003B1514">
              <w:rPr>
                <w:rFonts w:ascii="Times New Roman" w:hAnsi="Times New Roman" w:cs="Times New Roman"/>
                <w:color w:val="000000"/>
                <w:sz w:val="20"/>
                <w:szCs w:val="20"/>
              </w:rPr>
              <w:t>4. Budynek zamieszkania zbiorowego powyżej 10 kondygnacji.</w:t>
            </w:r>
          </w:p>
          <w:p w:rsidR="00C65BEE" w:rsidRPr="00541F1B" w:rsidRDefault="00C65BEE" w:rsidP="00146D5E">
            <w:pPr>
              <w:keepLines/>
              <w:spacing w:after="0"/>
              <w:rPr>
                <w:rFonts w:ascii="Times New Roman" w:hAnsi="Times New Roman" w:cs="Times New Roman"/>
                <w:color w:val="000000"/>
                <w:sz w:val="20"/>
                <w:szCs w:val="20"/>
              </w:rPr>
            </w:pPr>
          </w:p>
          <w:p w:rsidR="00C65BEE" w:rsidRPr="00541F1B" w:rsidRDefault="00C65BEE" w:rsidP="00146D5E">
            <w:pPr>
              <w:keepLines/>
              <w:spacing w:after="0"/>
              <w:rPr>
                <w:rFonts w:ascii="Times New Roman" w:hAnsi="Times New Roman" w:cs="Times New Roman"/>
                <w:color w:val="000000"/>
                <w:sz w:val="20"/>
                <w:szCs w:val="20"/>
              </w:rPr>
            </w:pPr>
          </w:p>
          <w:p w:rsidR="00C65BEE" w:rsidRPr="00541F1B" w:rsidRDefault="00C65BEE" w:rsidP="00146D5E">
            <w:pPr>
              <w:keepLines/>
              <w:spacing w:after="0"/>
              <w:rPr>
                <w:rFonts w:ascii="Times New Roman" w:hAnsi="Times New Roman" w:cs="Times New Roman"/>
                <w:color w:val="000000"/>
                <w:sz w:val="20"/>
                <w:szCs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lastRenderedPageBreak/>
              <w:t>1.2</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b/>
                <w:color w:val="000000"/>
                <w:sz w:val="20"/>
              </w:rPr>
            </w:pPr>
            <w:r w:rsidRPr="00541F1B">
              <w:rPr>
                <w:rFonts w:ascii="Times New Roman" w:hAnsi="Times New Roman" w:cs="Times New Roman"/>
                <w:b/>
                <w:color w:val="000000"/>
                <w:sz w:val="20"/>
              </w:rPr>
              <w:t>Przebudowa</w:t>
            </w: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Budynek do 250m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powierzchni całkowitej oraz wydzielony lokal - przebudowa z wyłączeniem elementów konstrukcyjnych i przegród zewnętrznych.</w:t>
            </w: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Budynek do 250m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powierzchni całkowitej oraz wydzielony lokal - przebudowa: </w:t>
            </w:r>
          </w:p>
          <w:p w:rsidR="00C65BEE" w:rsidRPr="00541F1B" w:rsidRDefault="00C65BEE" w:rsidP="00C65BEE">
            <w:pPr>
              <w:pStyle w:val="Akapitzlist"/>
              <w:keepLines/>
              <w:numPr>
                <w:ilvl w:val="0"/>
                <w:numId w:val="1"/>
              </w:numPr>
              <w:spacing w:line="276" w:lineRule="auto"/>
              <w:contextualSpacing/>
              <w:jc w:val="left"/>
              <w:rPr>
                <w:rFonts w:ascii="Times New Roman" w:hAnsi="Times New Roman" w:cs="Times New Roman"/>
                <w:sz w:val="20"/>
                <w:szCs w:val="20"/>
              </w:rPr>
            </w:pPr>
            <w:r w:rsidRPr="00541F1B">
              <w:rPr>
                <w:rFonts w:ascii="Times New Roman" w:hAnsi="Times New Roman" w:cs="Times New Roman"/>
                <w:sz w:val="20"/>
                <w:szCs w:val="20"/>
              </w:rPr>
              <w:t xml:space="preserve">elementów konstrukcyjnych, </w:t>
            </w:r>
          </w:p>
          <w:p w:rsidR="00C65BEE" w:rsidRPr="00541F1B" w:rsidRDefault="00006B96" w:rsidP="00C65BEE">
            <w:pPr>
              <w:pStyle w:val="Akapitzlist"/>
              <w:keepLines/>
              <w:numPr>
                <w:ilvl w:val="0"/>
                <w:numId w:val="1"/>
              </w:numPr>
              <w:spacing w:after="120" w:line="276" w:lineRule="auto"/>
              <w:ind w:left="357" w:hanging="357"/>
              <w:contextualSpacing/>
              <w:jc w:val="left"/>
              <w:rPr>
                <w:rFonts w:ascii="Times New Roman" w:hAnsi="Times New Roman" w:cs="Times New Roman"/>
                <w:sz w:val="20"/>
                <w:szCs w:val="20"/>
              </w:rPr>
            </w:pPr>
            <w:r>
              <w:rPr>
                <w:rFonts w:ascii="Times New Roman" w:hAnsi="Times New Roman" w:cs="Times New Roman"/>
                <w:sz w:val="20"/>
                <w:szCs w:val="20"/>
              </w:rPr>
              <w:t>przegród zewnętrznych.</w:t>
            </w:r>
          </w:p>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2. Budynek powyżej 250m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powierzchni całkowitej.</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1.3</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b/>
                <w:color w:val="000000"/>
                <w:sz w:val="20"/>
              </w:rPr>
            </w:pPr>
            <w:r w:rsidRPr="00541F1B">
              <w:rPr>
                <w:rFonts w:ascii="Times New Roman" w:hAnsi="Times New Roman" w:cs="Times New Roman"/>
                <w:b/>
                <w:color w:val="000000"/>
                <w:sz w:val="20"/>
              </w:rPr>
              <w:t>Remont</w:t>
            </w:r>
          </w:p>
        </w:tc>
        <w:tc>
          <w:tcPr>
            <w:tcW w:w="1985" w:type="dxa"/>
          </w:tcPr>
          <w:p w:rsidR="00C65BEE" w:rsidRPr="00541F1B" w:rsidRDefault="00C65BEE" w:rsidP="00146D5E">
            <w:pPr>
              <w:pStyle w:val="USTustnpkodeksu"/>
              <w:tabs>
                <w:tab w:val="left" w:pos="6551"/>
              </w:tabs>
              <w:spacing w:line="276" w:lineRule="auto"/>
              <w:ind w:firstLine="0"/>
              <w:jc w:val="left"/>
              <w:rPr>
                <w:rFonts w:ascii="Times New Roman" w:hAnsi="Times New Roman" w:cs="Times New Roman"/>
                <w:color w:val="000000"/>
                <w:sz w:val="20"/>
              </w:rPr>
            </w:pPr>
            <w:r w:rsidRPr="00541F1B">
              <w:rPr>
                <w:rFonts w:ascii="Times New Roman" w:hAnsi="Times New Roman" w:cs="Times New Roman"/>
                <w:color w:val="000000"/>
                <w:sz w:val="20"/>
              </w:rPr>
              <w:t>1. Każdy budynek.</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1.4</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b/>
                <w:color w:val="000000"/>
                <w:sz w:val="20"/>
              </w:rPr>
              <w:t>Rozbiórka</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Budynek do 35m</w:t>
            </w:r>
            <w:r w:rsidRPr="00006B96">
              <w:rPr>
                <w:rFonts w:ascii="Times New Roman" w:hAnsi="Times New Roman" w:cs="Times New Roman"/>
                <w:color w:val="000000"/>
                <w:sz w:val="20"/>
                <w:szCs w:val="20"/>
                <w:vertAlign w:val="superscript"/>
              </w:rPr>
              <w:t xml:space="preserve">2 </w:t>
            </w:r>
            <w:r w:rsidRPr="00541F1B">
              <w:rPr>
                <w:rFonts w:ascii="Times New Roman" w:hAnsi="Times New Roman" w:cs="Times New Roman"/>
                <w:color w:val="000000"/>
                <w:sz w:val="20"/>
                <w:szCs w:val="20"/>
              </w:rPr>
              <w:t>powierzchni całkowitej.</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Budynek powyżej 35m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powierzchni całkowitej, o wysokości do 8 m, usytuowany w odległości od granicy nieruchomości przylegającej równej co najmniej ½ jego wysokości.</w:t>
            </w:r>
          </w:p>
          <w:p w:rsidR="00C65BEE" w:rsidRPr="00541F1B" w:rsidRDefault="00C65BEE" w:rsidP="00146D5E">
            <w:pPr>
              <w:keepLines/>
              <w:spacing w:after="12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1. Budynek powyżej 35m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powierzchni całkowitej lub o wysokości powyżej 8 m lub usytuowany w odległości od granicy nieruchomości przylegającej mniejszej niż ½ jego wysokości.</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2. Rozbiórka wykonywana metodą wybuchową.</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lastRenderedPageBreak/>
              <w:t>1.5</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b/>
                <w:color w:val="000000"/>
                <w:sz w:val="20"/>
              </w:rPr>
              <w:t>Odbudowa</w:t>
            </w: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Budynek kategorii 1 - 2.</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Budynek kategorii 3.</w:t>
            </w:r>
          </w:p>
        </w:tc>
        <w:tc>
          <w:tcPr>
            <w:tcW w:w="1985" w:type="dxa"/>
          </w:tcPr>
          <w:p w:rsidR="00C65BEE" w:rsidRPr="00541F1B" w:rsidRDefault="00006B96" w:rsidP="00006B96">
            <w:pPr>
              <w:keepLines/>
              <w:spacing w:after="120"/>
              <w:rPr>
                <w:rFonts w:ascii="Times New Roman" w:hAnsi="Times New Roman" w:cs="Times New Roman"/>
                <w:color w:val="000000"/>
                <w:sz w:val="20"/>
                <w:szCs w:val="20"/>
              </w:rPr>
            </w:pPr>
            <w:r>
              <w:rPr>
                <w:rFonts w:ascii="Times New Roman" w:hAnsi="Times New Roman" w:cs="Times New Roman"/>
                <w:color w:val="000000"/>
                <w:sz w:val="20"/>
                <w:szCs w:val="20"/>
              </w:rPr>
              <w:t>1. Budynek kategorii 4.</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1.6</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b/>
                <w:color w:val="000000"/>
                <w:sz w:val="20"/>
              </w:rPr>
              <w:t>Zmiana sposobu użytkowania</w:t>
            </w:r>
            <w:bookmarkStart w:id="0" w:name="_GoBack"/>
            <w:bookmarkEnd w:id="0"/>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Zmiana sposobu użytkowania budynku , jego wydzielonej części lub lokalu</w:t>
            </w:r>
            <w:r w:rsidR="002833C6">
              <w:rPr>
                <w:rFonts w:ascii="Times New Roman" w:hAnsi="Times New Roman" w:cs="Times New Roman"/>
                <w:color w:val="000000"/>
                <w:sz w:val="20"/>
                <w:szCs w:val="20"/>
              </w:rPr>
              <w:t xml:space="preserve"> </w:t>
            </w:r>
            <w:r w:rsidR="00006B96">
              <w:rPr>
                <w:rFonts w:ascii="Times New Roman" w:hAnsi="Times New Roman" w:cs="Times New Roman"/>
                <w:color w:val="000000"/>
                <w:sz w:val="20"/>
                <w:szCs w:val="20"/>
              </w:rPr>
              <w:t>na funkcję pomocniczą.</w:t>
            </w:r>
          </w:p>
          <w:p w:rsidR="00C65BEE" w:rsidRPr="00541F1B" w:rsidRDefault="00C65BEE" w:rsidP="00146D5E">
            <w:pPr>
              <w:keepLines/>
              <w:spacing w:after="0"/>
              <w:rPr>
                <w:rFonts w:ascii="Times New Roman" w:hAnsi="Times New Roman" w:cs="Times New Roman"/>
                <w:color w:val="000000"/>
                <w:sz w:val="20"/>
                <w:szCs w:val="20"/>
              </w:rPr>
            </w:pPr>
          </w:p>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2. Zmiana sposobu użytkowania budynku, jego wydzielonej części lub lokalu w ramach funkcji mieszkalnej jednorodzinnej, letniskowej, inwentarskiej lub pomocniczej.</w:t>
            </w: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Zmiana sposobu użytkowania budynku lub jego wydzielon</w:t>
            </w:r>
            <w:r w:rsidR="00006B96">
              <w:rPr>
                <w:rFonts w:ascii="Times New Roman" w:hAnsi="Times New Roman" w:cs="Times New Roman"/>
                <w:color w:val="000000"/>
                <w:sz w:val="20"/>
                <w:szCs w:val="20"/>
              </w:rPr>
              <w:t>ej części na funkcję letniskową.</w:t>
            </w:r>
            <w:r w:rsidRPr="00541F1B">
              <w:rPr>
                <w:rFonts w:ascii="Times New Roman" w:hAnsi="Times New Roman" w:cs="Times New Roman"/>
                <w:color w:val="000000"/>
                <w:sz w:val="20"/>
                <w:szCs w:val="20"/>
              </w:rPr>
              <w:t xml:space="preserve"> </w:t>
            </w:r>
          </w:p>
          <w:p w:rsidR="00006B96" w:rsidRDefault="00006B96" w:rsidP="00146D5E">
            <w:pPr>
              <w:keepLines/>
              <w:spacing w:after="0"/>
              <w:rPr>
                <w:rFonts w:ascii="Times New Roman" w:hAnsi="Times New Roman" w:cs="Times New Roman"/>
                <w:color w:val="000000"/>
                <w:sz w:val="20"/>
                <w:szCs w:val="20"/>
              </w:rPr>
            </w:pPr>
          </w:p>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2. Zmiana sposobu użytkowania budynku, jego wydzielonej części lub lokalu</w:t>
            </w:r>
            <w:r w:rsidR="002833C6">
              <w:rPr>
                <w:rFonts w:ascii="Times New Roman" w:hAnsi="Times New Roman" w:cs="Times New Roman"/>
                <w:color w:val="000000"/>
                <w:sz w:val="20"/>
                <w:szCs w:val="20"/>
              </w:rPr>
              <w:t xml:space="preserve"> </w:t>
            </w:r>
            <w:r w:rsidRPr="00541F1B">
              <w:rPr>
                <w:rFonts w:ascii="Times New Roman" w:hAnsi="Times New Roman" w:cs="Times New Roman"/>
                <w:color w:val="000000"/>
                <w:sz w:val="20"/>
                <w:szCs w:val="20"/>
              </w:rPr>
              <w:t>w ramach funkcji mieszkalnej wielorodzinnej, zamieszkania zbiorowego, usługowej, produkcyjnej, lub inwentarskiej.</w:t>
            </w: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Zmiana sposobu użytkowania budynku , jego wydzielonej części lub lokalu</w:t>
            </w:r>
            <w:r w:rsidR="002833C6">
              <w:rPr>
                <w:rFonts w:ascii="Times New Roman" w:hAnsi="Times New Roman" w:cs="Times New Roman"/>
                <w:color w:val="000000"/>
                <w:sz w:val="20"/>
                <w:szCs w:val="20"/>
              </w:rPr>
              <w:t xml:space="preserve"> </w:t>
            </w:r>
            <w:r w:rsidRPr="00541F1B">
              <w:rPr>
                <w:rFonts w:ascii="Times New Roman" w:hAnsi="Times New Roman" w:cs="Times New Roman"/>
                <w:color w:val="000000"/>
                <w:sz w:val="20"/>
                <w:szCs w:val="20"/>
              </w:rPr>
              <w:t>na funkcję mieszkalną jednorodzinną, mieszkalną wielorodzinną, zamieszkania zbiorowego, usługową, produkcyjną lub inwentarską.</w:t>
            </w:r>
          </w:p>
          <w:p w:rsidR="00C65BEE" w:rsidRPr="00541F1B" w:rsidRDefault="00C65BEE" w:rsidP="00146D5E">
            <w:pPr>
              <w:keepLines/>
              <w:spacing w:after="0"/>
              <w:rPr>
                <w:rFonts w:ascii="Times New Roman" w:hAnsi="Times New Roman" w:cs="Times New Roman"/>
                <w:color w:val="000000"/>
                <w:sz w:val="20"/>
                <w:szCs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2</w:t>
            </w:r>
          </w:p>
        </w:tc>
        <w:tc>
          <w:tcPr>
            <w:tcW w:w="1985" w:type="dxa"/>
            <w:gridSpan w:val="7"/>
          </w:tcPr>
          <w:p w:rsidR="00C65BEE" w:rsidRPr="00541F1B" w:rsidRDefault="00C65BEE" w:rsidP="00146D5E">
            <w:pPr>
              <w:pStyle w:val="USTustnpkodeksu"/>
              <w:tabs>
                <w:tab w:val="left" w:pos="6551"/>
              </w:tabs>
              <w:spacing w:line="276" w:lineRule="auto"/>
              <w:ind w:firstLine="0"/>
              <w:jc w:val="center"/>
              <w:rPr>
                <w:rFonts w:ascii="Times New Roman" w:hAnsi="Times New Roman" w:cs="Times New Roman"/>
                <w:b/>
                <w:color w:val="000000"/>
                <w:sz w:val="20"/>
              </w:rPr>
            </w:pPr>
            <w:r w:rsidRPr="00541F1B">
              <w:rPr>
                <w:rFonts w:ascii="Times New Roman" w:hAnsi="Times New Roman" w:cs="Times New Roman"/>
                <w:b/>
                <w:color w:val="000000"/>
                <w:sz w:val="20"/>
              </w:rPr>
              <w:t>Budowle</w:t>
            </w:r>
            <w:r w:rsidRPr="00541F1B">
              <w:rPr>
                <w:rStyle w:val="Odwoanieprzypisudolnego"/>
                <w:rFonts w:ascii="Times New Roman" w:hAnsi="Times New Roman" w:cs="Times New Roman"/>
                <w:b/>
                <w:color w:val="000000"/>
                <w:sz w:val="20"/>
              </w:rPr>
              <w:footnoteReference w:id="1"/>
            </w: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2.1</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b/>
                <w:color w:val="000000"/>
                <w:sz w:val="20"/>
              </w:rPr>
              <w:t>Budowa</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Budowla  na terenie objętym planem miejscowym  o powierzchni zabudowy do 35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w:t>
            </w:r>
            <w:r w:rsidRPr="00541F1B">
              <w:rPr>
                <w:rFonts w:ascii="Times New Roman" w:hAnsi="Times New Roman" w:cs="Times New Roman"/>
                <w:color w:val="000000"/>
                <w:sz w:val="20"/>
                <w:szCs w:val="20"/>
              </w:rPr>
              <w:lastRenderedPageBreak/>
              <w:t>lub o wysokości całkowitej do 3 m, przy czym wysokość budo</w:t>
            </w:r>
            <w:r w:rsidR="00006B96">
              <w:rPr>
                <w:rFonts w:ascii="Times New Roman" w:hAnsi="Times New Roman" w:cs="Times New Roman"/>
                <w:color w:val="000000"/>
                <w:sz w:val="20"/>
                <w:szCs w:val="20"/>
              </w:rPr>
              <w:t>wli nie może przekroczyć 2,20 m.</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Opaski brzegowe oraz inne sztuczne, powierzchniowe lub liniowe umocnienia brzegów rzek i potoków górskich oraz brzegu morskiego, brzegu morskich wód wewnętrznych, nies</w:t>
            </w:r>
            <w:r w:rsidR="00006B96">
              <w:rPr>
                <w:rFonts w:ascii="Times New Roman" w:hAnsi="Times New Roman" w:cs="Times New Roman"/>
                <w:color w:val="000000"/>
                <w:sz w:val="20"/>
                <w:szCs w:val="20"/>
              </w:rPr>
              <w:t>tanowiące konstrukcji oporowych.</w:t>
            </w:r>
          </w:p>
          <w:p w:rsidR="00C65BEE" w:rsidRPr="00541F1B" w:rsidRDefault="00006B96" w:rsidP="00146D5E">
            <w:pPr>
              <w:keepLines/>
              <w:spacing w:after="120"/>
              <w:rPr>
                <w:rFonts w:ascii="Times New Roman" w:hAnsi="Times New Roman" w:cs="Times New Roman"/>
                <w:color w:val="000000"/>
                <w:sz w:val="20"/>
                <w:szCs w:val="20"/>
              </w:rPr>
            </w:pPr>
            <w:r>
              <w:rPr>
                <w:rFonts w:ascii="Times New Roman" w:hAnsi="Times New Roman" w:cs="Times New Roman"/>
                <w:color w:val="000000"/>
                <w:sz w:val="20"/>
                <w:szCs w:val="20"/>
              </w:rPr>
              <w:t>4. Przyłącze.</w:t>
            </w:r>
          </w:p>
          <w:p w:rsidR="00C65BEE" w:rsidRPr="00541F1B" w:rsidRDefault="00006B96" w:rsidP="00146D5E">
            <w:pPr>
              <w:keepLines/>
              <w:spacing w:after="120"/>
              <w:rPr>
                <w:rFonts w:ascii="Times New Roman" w:hAnsi="Times New Roman" w:cs="Times New Roman"/>
                <w:color w:val="000000"/>
                <w:sz w:val="20"/>
                <w:szCs w:val="20"/>
              </w:rPr>
            </w:pPr>
            <w:r>
              <w:rPr>
                <w:rFonts w:ascii="Times New Roman" w:hAnsi="Times New Roman" w:cs="Times New Roman"/>
                <w:color w:val="000000"/>
                <w:sz w:val="20"/>
                <w:szCs w:val="20"/>
              </w:rPr>
              <w:t>5. Zjazd.</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6. Obiekt małej architektury sytuowany poza  miejscami  publicznymi.</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 xml:space="preserve">7. Znaki geodezyjne, budowle triangulacyjne poza obszarem parków narodowych i rezerwatów przyrody </w:t>
            </w:r>
            <w:r w:rsidRPr="00541F1B">
              <w:rPr>
                <w:rFonts w:ascii="Times New Roman" w:hAnsi="Times New Roman" w:cs="Times New Roman"/>
                <w:color w:val="000000"/>
                <w:sz w:val="20"/>
                <w:szCs w:val="20"/>
              </w:rPr>
              <w:lastRenderedPageBreak/>
              <w:t>oraz obiektami wpisanymi do rejestru zabytków</w:t>
            </w:r>
            <w:r w:rsidR="00006B96">
              <w:rPr>
                <w:rFonts w:ascii="Times New Roman" w:hAnsi="Times New Roman" w:cs="Times New Roman"/>
                <w:color w:val="000000"/>
                <w:sz w:val="20"/>
                <w:szCs w:val="20"/>
              </w:rPr>
              <w:t>.</w:t>
            </w:r>
          </w:p>
          <w:p w:rsidR="00C65BEE" w:rsidRPr="00541F1B" w:rsidRDefault="00C65BEE" w:rsidP="00146D5E">
            <w:pPr>
              <w:keepLines/>
              <w:spacing w:after="120"/>
              <w:rPr>
                <w:rFonts w:ascii="Times New Roman" w:hAnsi="Times New Roman" w:cs="Times New Roman"/>
                <w:color w:val="000000"/>
                <w:sz w:val="20"/>
                <w:szCs w:val="20"/>
              </w:rPr>
            </w:pPr>
          </w:p>
          <w:p w:rsidR="00C65BEE" w:rsidRPr="00541F1B" w:rsidRDefault="00C65BEE" w:rsidP="00146D5E">
            <w:pPr>
              <w:keepLines/>
              <w:spacing w:after="120"/>
              <w:rPr>
                <w:rFonts w:ascii="Times New Roman" w:hAnsi="Times New Roman" w:cs="Times New Roman"/>
                <w:color w:val="000000"/>
                <w:sz w:val="20"/>
                <w:szCs w:val="20"/>
              </w:rPr>
            </w:pPr>
          </w:p>
          <w:p w:rsidR="00C65BEE" w:rsidRPr="00541F1B" w:rsidRDefault="00C65BEE" w:rsidP="00146D5E">
            <w:pPr>
              <w:keepLines/>
              <w:spacing w:after="12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1. Budowla  na terenie nieobjętym planem miejscowym o powierzchni zabudowy do 35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w:t>
            </w:r>
            <w:r w:rsidRPr="00541F1B">
              <w:rPr>
                <w:rFonts w:ascii="Times New Roman" w:hAnsi="Times New Roman" w:cs="Times New Roman"/>
                <w:color w:val="000000"/>
                <w:sz w:val="20"/>
                <w:szCs w:val="20"/>
              </w:rPr>
              <w:lastRenderedPageBreak/>
              <w:t>lub o wysokości całkowitej do 3 m, przy czym wysokość budo</w:t>
            </w:r>
            <w:r w:rsidR="00006B96">
              <w:rPr>
                <w:rFonts w:ascii="Times New Roman" w:hAnsi="Times New Roman" w:cs="Times New Roman"/>
                <w:color w:val="000000"/>
                <w:sz w:val="20"/>
                <w:szCs w:val="20"/>
              </w:rPr>
              <w:t>wli nie może przekroczyć 2,20 m.</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Budowla o  powierzchni zabudowy powyżej 35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50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lub o wysokośc</w:t>
            </w:r>
            <w:r w:rsidR="00006B96">
              <w:rPr>
                <w:rFonts w:ascii="Times New Roman" w:hAnsi="Times New Roman" w:cs="Times New Roman"/>
                <w:color w:val="000000"/>
                <w:sz w:val="20"/>
                <w:szCs w:val="20"/>
              </w:rPr>
              <w:t>i całkowitej powyżej 3 m do 6 m.</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 xml:space="preserve">3. </w:t>
            </w:r>
            <w:r w:rsidRPr="00541F1B">
              <w:rPr>
                <w:rFonts w:ascii="Times New Roman" w:eastAsia="Times New Roman" w:hAnsi="Times New Roman" w:cs="Times New Roman"/>
                <w:color w:val="000000"/>
                <w:sz w:val="20"/>
                <w:szCs w:val="20"/>
              </w:rPr>
              <w:t xml:space="preserve"> B</w:t>
            </w:r>
            <w:r w:rsidRPr="00541F1B">
              <w:rPr>
                <w:rFonts w:ascii="Times New Roman" w:hAnsi="Times New Roman" w:cs="Times New Roman"/>
                <w:color w:val="000000"/>
                <w:sz w:val="20"/>
                <w:szCs w:val="20"/>
              </w:rPr>
              <w:t xml:space="preserve">udowla piętrząca wodę i upustowa o wysokości piętrzenia poniżej 1 m 4. Obiekt małej architektury </w:t>
            </w:r>
            <w:r w:rsidR="00006B96">
              <w:rPr>
                <w:rFonts w:ascii="Times New Roman" w:hAnsi="Times New Roman" w:cs="Times New Roman"/>
                <w:color w:val="000000"/>
                <w:sz w:val="20"/>
                <w:szCs w:val="20"/>
              </w:rPr>
              <w:t>sytuowany w miejscu publicznym.</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5. Pomost o długości całkowitej do 25 m i wysokości, liczonej od korony pomostu do dna akwenu, do 2,50 m, służący do uprawiania wędkarstwa, rekreacji oraz cumowania niewielkich jednostek pływających, jak łodzie, kajaki, jach</w:t>
            </w:r>
            <w:r w:rsidR="00006B96">
              <w:rPr>
                <w:rFonts w:ascii="Times New Roman" w:hAnsi="Times New Roman" w:cs="Times New Roman"/>
                <w:color w:val="000000"/>
                <w:sz w:val="20"/>
                <w:szCs w:val="20"/>
              </w:rPr>
              <w:t>ty.</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 xml:space="preserve">7. Studnia oraz inne ujęcie wód </w:t>
            </w:r>
            <w:r w:rsidRPr="00541F1B">
              <w:rPr>
                <w:rFonts w:ascii="Times New Roman" w:hAnsi="Times New Roman" w:cs="Times New Roman"/>
                <w:color w:val="000000"/>
                <w:sz w:val="20"/>
                <w:szCs w:val="20"/>
              </w:rPr>
              <w:lastRenderedPageBreak/>
              <w:t>podziemnych i powierzchniowych niewymagające uzy</w:t>
            </w:r>
            <w:r w:rsidR="00006B96">
              <w:rPr>
                <w:rFonts w:ascii="Times New Roman" w:hAnsi="Times New Roman" w:cs="Times New Roman"/>
                <w:color w:val="000000"/>
                <w:sz w:val="20"/>
                <w:szCs w:val="20"/>
              </w:rPr>
              <w:t>skania pozwolenia wodnoprawnego.</w:t>
            </w:r>
          </w:p>
          <w:p w:rsidR="00C65BEE" w:rsidRPr="00541F1B" w:rsidRDefault="00006B96" w:rsidP="00146D5E">
            <w:pPr>
              <w:keepLines/>
              <w:spacing w:after="120"/>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r w:rsidR="00C65BEE" w:rsidRPr="00541F1B">
              <w:rPr>
                <w:rFonts w:ascii="Times New Roman" w:hAnsi="Times New Roman" w:cs="Times New Roman"/>
                <w:color w:val="000000"/>
                <w:sz w:val="20"/>
                <w:szCs w:val="20"/>
              </w:rPr>
              <w:t>T</w:t>
            </w:r>
            <w:r>
              <w:rPr>
                <w:rFonts w:ascii="Times New Roman" w:hAnsi="Times New Roman" w:cs="Times New Roman"/>
                <w:color w:val="000000"/>
                <w:sz w:val="20"/>
                <w:szCs w:val="20"/>
              </w:rPr>
              <w:t>elekomunikacyjny obiekt liniowy.</w:t>
            </w:r>
          </w:p>
          <w:p w:rsidR="00C65BEE" w:rsidRPr="00541F1B" w:rsidRDefault="00C65BEE" w:rsidP="00006B96">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9. Urządzenia m</w:t>
            </w:r>
            <w:r w:rsidR="00006B96">
              <w:rPr>
                <w:rFonts w:ascii="Times New Roman" w:hAnsi="Times New Roman" w:cs="Times New Roman"/>
                <w:color w:val="000000"/>
                <w:sz w:val="20"/>
                <w:szCs w:val="20"/>
              </w:rPr>
              <w:t>elioracji wodnych szczegółowych.</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1. Budowla o  powierzchni zabudowy powyżej 50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100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lub o wysokości</w:t>
            </w:r>
            <w:r w:rsidR="00006B96">
              <w:rPr>
                <w:rFonts w:ascii="Times New Roman" w:hAnsi="Times New Roman" w:cs="Times New Roman"/>
                <w:color w:val="000000"/>
                <w:sz w:val="20"/>
                <w:szCs w:val="20"/>
              </w:rPr>
              <w:t xml:space="preserve"> </w:t>
            </w:r>
            <w:r w:rsidR="00006B96">
              <w:rPr>
                <w:rFonts w:ascii="Times New Roman" w:hAnsi="Times New Roman" w:cs="Times New Roman"/>
                <w:color w:val="000000"/>
                <w:sz w:val="20"/>
                <w:szCs w:val="20"/>
              </w:rPr>
              <w:lastRenderedPageBreak/>
              <w:t>całkowitej powyżej 6 m do 15 m.</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Obiekt mostowy, którego budowa nie została zaliczona do kategorii 4-6.</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 xml:space="preserve">3. </w:t>
            </w:r>
            <w:r w:rsidRPr="00541F1B">
              <w:rPr>
                <w:rFonts w:ascii="Times New Roman" w:eastAsia="Times New Roman" w:hAnsi="Times New Roman" w:cs="Times New Roman"/>
                <w:color w:val="000000"/>
                <w:sz w:val="20"/>
                <w:szCs w:val="20"/>
              </w:rPr>
              <w:t xml:space="preserve"> B</w:t>
            </w:r>
            <w:r w:rsidRPr="00541F1B">
              <w:rPr>
                <w:rFonts w:ascii="Times New Roman" w:hAnsi="Times New Roman" w:cs="Times New Roman"/>
                <w:color w:val="000000"/>
                <w:sz w:val="20"/>
                <w:szCs w:val="20"/>
              </w:rPr>
              <w:t>udowla piętrząca wodę i upustowa o wysokości piętrzenia powyżej 1 m do 2m 4. Studnia oraz inne ujęcie wód podziemnych i powierzchniowych wymagające uzy</w:t>
            </w:r>
            <w:r w:rsidR="00006B96">
              <w:rPr>
                <w:rFonts w:ascii="Times New Roman" w:hAnsi="Times New Roman" w:cs="Times New Roman"/>
                <w:color w:val="000000"/>
                <w:sz w:val="20"/>
                <w:szCs w:val="20"/>
              </w:rPr>
              <w:t>skania pozwolenia wodnoprawnego.</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5. Urządzenia melioracji wodnych podstawowych.</w:t>
            </w:r>
          </w:p>
          <w:p w:rsidR="00C65BEE" w:rsidRPr="00541F1B" w:rsidRDefault="00C65BEE" w:rsidP="00146D5E">
            <w:pPr>
              <w:keepLines/>
              <w:spacing w:after="120"/>
              <w:rPr>
                <w:rFonts w:ascii="Times New Roman" w:hAnsi="Times New Roman" w:cs="Times New Roman"/>
                <w:color w:val="000000"/>
                <w:sz w:val="20"/>
                <w:szCs w:val="20"/>
              </w:rPr>
            </w:pPr>
          </w:p>
          <w:p w:rsidR="00C65BEE" w:rsidRPr="00541F1B" w:rsidRDefault="00C65BEE" w:rsidP="00146D5E">
            <w:pPr>
              <w:keepLines/>
              <w:spacing w:after="120"/>
              <w:rPr>
                <w:rFonts w:ascii="Times New Roman" w:hAnsi="Times New Roman" w:cs="Times New Roman"/>
                <w:color w:val="000000"/>
                <w:sz w:val="20"/>
                <w:szCs w:val="20"/>
              </w:rPr>
            </w:pPr>
          </w:p>
          <w:p w:rsidR="00C65BEE" w:rsidRPr="00541F1B" w:rsidRDefault="00C65BEE" w:rsidP="00146D5E">
            <w:pPr>
              <w:keepLines/>
              <w:spacing w:after="12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1. Budowla o  powierzchni zabudowy powyżej 100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do 250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lub o wysokości </w:t>
            </w:r>
            <w:r w:rsidR="00006B96">
              <w:rPr>
                <w:rFonts w:ascii="Times New Roman" w:hAnsi="Times New Roman" w:cs="Times New Roman"/>
                <w:color w:val="000000"/>
                <w:sz w:val="20"/>
                <w:szCs w:val="20"/>
              </w:rPr>
              <w:lastRenderedPageBreak/>
              <w:t>całkowitej powyżej 15 m do 20 m.</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Obiekt liniowy, którego budowa nie zosta</w:t>
            </w:r>
            <w:r w:rsidR="00006B96">
              <w:rPr>
                <w:rFonts w:ascii="Times New Roman" w:hAnsi="Times New Roman" w:cs="Times New Roman"/>
                <w:color w:val="000000"/>
                <w:sz w:val="20"/>
                <w:szCs w:val="20"/>
              </w:rPr>
              <w:t>ła zaliczona do innej kategorii.</w:t>
            </w:r>
          </w:p>
          <w:p w:rsidR="00C65BEE" w:rsidRPr="00541F1B" w:rsidRDefault="00006B96" w:rsidP="00146D5E">
            <w:pPr>
              <w:keepLines/>
              <w:spacing w:after="120"/>
              <w:rPr>
                <w:rFonts w:ascii="Times New Roman" w:hAnsi="Times New Roman" w:cs="Times New Roman"/>
                <w:color w:val="000000"/>
                <w:sz w:val="20"/>
                <w:szCs w:val="20"/>
              </w:rPr>
            </w:pPr>
            <w:r>
              <w:rPr>
                <w:rFonts w:ascii="Times New Roman" w:hAnsi="Times New Roman" w:cs="Times New Roman"/>
                <w:color w:val="000000"/>
                <w:sz w:val="20"/>
                <w:szCs w:val="20"/>
              </w:rPr>
              <w:t>3. Wał przeciwpowodziowy.</w:t>
            </w:r>
            <w:r w:rsidR="00C65BEE" w:rsidRPr="00541F1B">
              <w:rPr>
                <w:rFonts w:ascii="Times New Roman" w:hAnsi="Times New Roman" w:cs="Times New Roman"/>
                <w:color w:val="000000"/>
                <w:sz w:val="20"/>
                <w:szCs w:val="20"/>
              </w:rPr>
              <w:t xml:space="preserve"> </w:t>
            </w:r>
          </w:p>
          <w:p w:rsidR="00C65BEE" w:rsidRPr="00541F1B" w:rsidRDefault="00C65BEE" w:rsidP="00146D5E">
            <w:pPr>
              <w:keepLines/>
              <w:spacing w:after="12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1. Budowla o  powierzchni  zabudowy powyżej 250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 xml:space="preserve">  lub o wy</w:t>
            </w:r>
            <w:r w:rsidR="00006B96">
              <w:rPr>
                <w:rFonts w:ascii="Times New Roman" w:hAnsi="Times New Roman" w:cs="Times New Roman"/>
                <w:color w:val="000000"/>
                <w:sz w:val="20"/>
                <w:szCs w:val="20"/>
              </w:rPr>
              <w:t xml:space="preserve">sokości całkowitej </w:t>
            </w:r>
            <w:r w:rsidR="00006B96">
              <w:rPr>
                <w:rFonts w:ascii="Times New Roman" w:hAnsi="Times New Roman" w:cs="Times New Roman"/>
                <w:color w:val="000000"/>
                <w:sz w:val="20"/>
                <w:szCs w:val="20"/>
              </w:rPr>
              <w:lastRenderedPageBreak/>
              <w:t>powyżej 20 m.</w:t>
            </w:r>
          </w:p>
          <w:p w:rsidR="00C65BEE"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Budowla hydrotechniczna, której budowa nie zosta</w:t>
            </w:r>
            <w:r w:rsidR="00006B96">
              <w:rPr>
                <w:rFonts w:ascii="Times New Roman" w:hAnsi="Times New Roman" w:cs="Times New Roman"/>
                <w:color w:val="000000"/>
                <w:sz w:val="20"/>
                <w:szCs w:val="20"/>
              </w:rPr>
              <w:t>ła zaliczona do innej kategorii.</w:t>
            </w:r>
          </w:p>
          <w:p w:rsidR="00C65BEE" w:rsidRPr="00541F1B" w:rsidRDefault="00C65BEE" w:rsidP="00146D5E">
            <w:pPr>
              <w:keepLines/>
              <w:spacing w:after="120"/>
              <w:rPr>
                <w:rFonts w:ascii="Times New Roman" w:hAnsi="Times New Roman" w:cs="Times New Roman"/>
                <w:color w:val="000000"/>
                <w:sz w:val="20"/>
                <w:szCs w:val="20"/>
              </w:rPr>
            </w:pPr>
            <w:r>
              <w:rPr>
                <w:rFonts w:ascii="Times New Roman" w:hAnsi="Times New Roman" w:cs="Times New Roman"/>
                <w:color w:val="000000"/>
                <w:sz w:val="20"/>
                <w:szCs w:val="20"/>
              </w:rPr>
              <w:t>3</w:t>
            </w:r>
            <w:r w:rsidRPr="00541F1B">
              <w:rPr>
                <w:rFonts w:ascii="Times New Roman" w:hAnsi="Times New Roman" w:cs="Times New Roman"/>
                <w:color w:val="000000"/>
                <w:sz w:val="20"/>
                <w:szCs w:val="20"/>
              </w:rPr>
              <w:t xml:space="preserve">. </w:t>
            </w:r>
            <w:r w:rsidRPr="00541F1B">
              <w:rPr>
                <w:rFonts w:ascii="Times New Roman" w:eastAsia="Times New Roman" w:hAnsi="Times New Roman" w:cs="Times New Roman"/>
                <w:color w:val="000000"/>
                <w:sz w:val="20"/>
                <w:szCs w:val="20"/>
              </w:rPr>
              <w:t xml:space="preserve"> B</w:t>
            </w:r>
            <w:r w:rsidRPr="00541F1B">
              <w:rPr>
                <w:rFonts w:ascii="Times New Roman" w:hAnsi="Times New Roman" w:cs="Times New Roman"/>
                <w:color w:val="000000"/>
                <w:sz w:val="20"/>
                <w:szCs w:val="20"/>
              </w:rPr>
              <w:t>udowla piętrząca wodę i upustowa o wysokości piętrzenia powyżej 2 m do</w:t>
            </w:r>
            <w:r>
              <w:rPr>
                <w:rFonts w:ascii="Times New Roman" w:hAnsi="Times New Roman" w:cs="Times New Roman"/>
                <w:color w:val="000000"/>
                <w:sz w:val="20"/>
                <w:szCs w:val="20"/>
              </w:rPr>
              <w:t xml:space="preserve"> 5</w:t>
            </w:r>
            <w:r w:rsidRPr="00541F1B">
              <w:rPr>
                <w:rFonts w:ascii="Times New Roman" w:hAnsi="Times New Roman" w:cs="Times New Roman"/>
                <w:color w:val="000000"/>
                <w:sz w:val="20"/>
                <w:szCs w:val="20"/>
              </w:rPr>
              <w:t xml:space="preserve"> m lub o pojemności zbiornika powyżej</w:t>
            </w:r>
            <w:r>
              <w:rPr>
                <w:rFonts w:ascii="Times New Roman" w:hAnsi="Times New Roman" w:cs="Times New Roman"/>
                <w:color w:val="000000"/>
                <w:sz w:val="20"/>
                <w:szCs w:val="20"/>
              </w:rPr>
              <w:t xml:space="preserve"> 200 tys. m</w:t>
            </w:r>
            <w:r w:rsidRPr="00520BFA">
              <w:rPr>
                <w:rFonts w:ascii="Times New Roman" w:hAnsi="Times New Roman" w:cs="Times New Roman"/>
                <w:color w:val="000000"/>
                <w:sz w:val="20"/>
                <w:szCs w:val="20"/>
                <w:vertAlign w:val="superscript"/>
              </w:rPr>
              <w:t>3</w:t>
            </w:r>
            <w:r w:rsidR="002833C6">
              <w:rPr>
                <w:rFonts w:ascii="Times New Roman" w:hAnsi="Times New Roman" w:cs="Times New Roman"/>
                <w:color w:val="000000"/>
                <w:sz w:val="20"/>
                <w:szCs w:val="20"/>
                <w:vertAlign w:val="superscript"/>
              </w:rPr>
              <w:t xml:space="preserve"> </w:t>
            </w:r>
            <w:r w:rsidRPr="00541F1B">
              <w:rPr>
                <w:rFonts w:ascii="Times New Roman" w:hAnsi="Times New Roman" w:cs="Times New Roman"/>
                <w:color w:val="000000"/>
                <w:sz w:val="20"/>
                <w:szCs w:val="20"/>
              </w:rPr>
              <w:t>do</w:t>
            </w:r>
            <w:r>
              <w:rPr>
                <w:rFonts w:ascii="Times New Roman" w:hAnsi="Times New Roman" w:cs="Times New Roman"/>
                <w:color w:val="000000"/>
                <w:sz w:val="20"/>
                <w:szCs w:val="20"/>
              </w:rPr>
              <w:t xml:space="preserve"> 5 mln m</w:t>
            </w:r>
            <w:r w:rsidRPr="00520BFA">
              <w:rPr>
                <w:rFonts w:ascii="Times New Roman" w:hAnsi="Times New Roman" w:cs="Times New Roman"/>
                <w:color w:val="000000"/>
                <w:sz w:val="20"/>
                <w:szCs w:val="20"/>
                <w:vertAlign w:val="superscript"/>
              </w:rPr>
              <w:t>3</w:t>
            </w:r>
            <w:r w:rsidR="00006B96" w:rsidRPr="00006B96">
              <w:rPr>
                <w:rFonts w:ascii="Times New Roman" w:hAnsi="Times New Roman" w:cs="Times New Roman"/>
                <w:color w:val="000000"/>
                <w:sz w:val="20"/>
                <w:szCs w:val="20"/>
              </w:rPr>
              <w:t>.</w:t>
            </w:r>
          </w:p>
          <w:p w:rsidR="00C65BEE" w:rsidRDefault="00C65BEE" w:rsidP="00146D5E">
            <w:pPr>
              <w:keepLines/>
              <w:spacing w:after="120"/>
              <w:rPr>
                <w:rFonts w:ascii="Times New Roman" w:hAnsi="Times New Roman" w:cs="Times New Roman"/>
                <w:color w:val="000000"/>
                <w:sz w:val="20"/>
                <w:szCs w:val="20"/>
              </w:rPr>
            </w:pPr>
            <w:r>
              <w:rPr>
                <w:rFonts w:ascii="Times New Roman" w:hAnsi="Times New Roman" w:cs="Times New Roman"/>
                <w:color w:val="000000"/>
                <w:sz w:val="20"/>
                <w:szCs w:val="20"/>
              </w:rPr>
              <w:t>4</w:t>
            </w:r>
            <w:r w:rsidRPr="00541F1B">
              <w:rPr>
                <w:rFonts w:ascii="Times New Roman" w:hAnsi="Times New Roman" w:cs="Times New Roman"/>
                <w:color w:val="000000"/>
                <w:sz w:val="20"/>
                <w:szCs w:val="20"/>
              </w:rPr>
              <w:t>. Elektrownia wiatrowa.</w:t>
            </w:r>
          </w:p>
          <w:p w:rsidR="00C65BEE" w:rsidRPr="00541F1B" w:rsidRDefault="00C65BEE" w:rsidP="00146D5E">
            <w:pPr>
              <w:keepLines/>
              <w:spacing w:after="12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 xml:space="preserve">1. </w:t>
            </w:r>
            <w:r w:rsidRPr="00541F1B">
              <w:rPr>
                <w:rFonts w:ascii="Times New Roman" w:eastAsia="Times New Roman" w:hAnsi="Times New Roman" w:cs="Times New Roman"/>
                <w:color w:val="000000"/>
                <w:sz w:val="20"/>
                <w:szCs w:val="20"/>
              </w:rPr>
              <w:t xml:space="preserve"> B</w:t>
            </w:r>
            <w:r w:rsidRPr="00541F1B">
              <w:rPr>
                <w:rFonts w:ascii="Times New Roman" w:hAnsi="Times New Roman" w:cs="Times New Roman"/>
                <w:color w:val="000000"/>
                <w:sz w:val="20"/>
                <w:szCs w:val="20"/>
              </w:rPr>
              <w:t xml:space="preserve">udowla piętrząca wodę i upustowa o wysokości piętrzenia powyżej </w:t>
            </w:r>
            <w:r>
              <w:rPr>
                <w:rFonts w:ascii="Times New Roman" w:hAnsi="Times New Roman" w:cs="Times New Roman"/>
                <w:color w:val="000000"/>
                <w:sz w:val="20"/>
                <w:szCs w:val="20"/>
              </w:rPr>
              <w:t>5</w:t>
            </w:r>
            <w:r w:rsidRPr="00541F1B">
              <w:rPr>
                <w:rFonts w:ascii="Times New Roman" w:hAnsi="Times New Roman" w:cs="Times New Roman"/>
                <w:color w:val="000000"/>
                <w:sz w:val="20"/>
                <w:szCs w:val="20"/>
              </w:rPr>
              <w:t xml:space="preserve"> m lub o pojemności zbiornika </w:t>
            </w:r>
            <w:r w:rsidRPr="00541F1B">
              <w:rPr>
                <w:rFonts w:ascii="Times New Roman" w:hAnsi="Times New Roman" w:cs="Times New Roman"/>
                <w:color w:val="000000"/>
                <w:sz w:val="20"/>
                <w:szCs w:val="20"/>
              </w:rPr>
              <w:lastRenderedPageBreak/>
              <w:t xml:space="preserve">powyżej </w:t>
            </w:r>
            <w:r>
              <w:rPr>
                <w:rFonts w:ascii="Times New Roman" w:hAnsi="Times New Roman" w:cs="Times New Roman"/>
                <w:color w:val="000000"/>
                <w:sz w:val="20"/>
                <w:szCs w:val="20"/>
              </w:rPr>
              <w:t>5 mln m</w:t>
            </w:r>
            <w:r w:rsidRPr="00146D5E">
              <w:rPr>
                <w:rFonts w:ascii="Times New Roman" w:hAnsi="Times New Roman" w:cs="Times New Roman"/>
                <w:color w:val="000000"/>
                <w:sz w:val="20"/>
                <w:szCs w:val="20"/>
                <w:vertAlign w:val="superscript"/>
              </w:rPr>
              <w:t>3</w:t>
            </w:r>
            <w:r w:rsidR="00006B96" w:rsidRPr="00006B96">
              <w:rPr>
                <w:rFonts w:ascii="Times New Roman" w:hAnsi="Times New Roman" w:cs="Times New Roman"/>
                <w:color w:val="000000"/>
                <w:sz w:val="20"/>
                <w:szCs w:val="20"/>
              </w:rPr>
              <w:t>.</w:t>
            </w:r>
          </w:p>
          <w:p w:rsidR="00C65BEE" w:rsidRPr="00541F1B" w:rsidRDefault="00C65BEE" w:rsidP="00146D5E">
            <w:pPr>
              <w:keepLines/>
              <w:spacing w:after="120"/>
              <w:rPr>
                <w:rFonts w:ascii="Times New Roman" w:hAnsi="Times New Roman" w:cs="Times New Roman"/>
                <w:color w:val="000000"/>
                <w:sz w:val="20"/>
                <w:szCs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lastRenderedPageBreak/>
              <w:t>2.2</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b/>
                <w:color w:val="000000"/>
                <w:sz w:val="20"/>
              </w:rPr>
              <w:t>Przebudowa</w:t>
            </w: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Budowle, których budowa została zaliczona do kategorii 1 i 2.</w:t>
            </w: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Budowle, których budowa została zaliczona do kategorii 3-4.</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Budowle, których budowa została zaliczona do kategorii 5-6.</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2.3</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b/>
                <w:color w:val="000000"/>
                <w:sz w:val="20"/>
              </w:rPr>
              <w:t>Remont</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1. Każda budowla.</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2.4</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b/>
                <w:color w:val="000000"/>
                <w:sz w:val="20"/>
              </w:rPr>
              <w:t>Rozbiórka</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Budowle, których budowa została zaliczona do kategorii 1-2.</w:t>
            </w:r>
          </w:p>
          <w:p w:rsidR="00C65BEE" w:rsidRPr="00541F1B" w:rsidRDefault="00C65BEE" w:rsidP="00146D5E">
            <w:pPr>
              <w:keepLines/>
              <w:spacing w:after="12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Budowle, których budowa została zaliczona do kategorii 3-4.</w:t>
            </w:r>
          </w:p>
          <w:p w:rsidR="00C65BEE" w:rsidRPr="00541F1B" w:rsidRDefault="00C65BEE" w:rsidP="00146D5E">
            <w:pPr>
              <w:keepLines/>
              <w:spacing w:after="12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Budowle, których budowa została zaliczona do kategorii 5-6;</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Rozbiórka wykonywana metodą wybuchową.</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2.5</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b/>
                <w:color w:val="000000"/>
                <w:sz w:val="20"/>
              </w:rPr>
              <w:t>Odbudowa</w:t>
            </w:r>
          </w:p>
        </w:tc>
        <w:tc>
          <w:tcPr>
            <w:tcW w:w="1985" w:type="dxa"/>
          </w:tcPr>
          <w:p w:rsidR="00C65BEE" w:rsidRPr="00541F1B" w:rsidRDefault="00C65BEE" w:rsidP="00006B96">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Budowle, których budowa została zaliczona do kategorii 1-2.</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Budowle, których budowa została zaliczona do kategorii 3-4.</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2.6</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b/>
                <w:color w:val="000000"/>
                <w:sz w:val="20"/>
              </w:rPr>
              <w:t>Zmiana sposobu użytkowania</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 xml:space="preserve">1. W ramach dotychczasowej </w:t>
            </w:r>
            <w:r w:rsidRPr="00541F1B">
              <w:rPr>
                <w:rFonts w:ascii="Times New Roman" w:hAnsi="Times New Roman" w:cs="Times New Roman"/>
                <w:color w:val="000000"/>
                <w:sz w:val="20"/>
                <w:szCs w:val="20"/>
              </w:rPr>
              <w:lastRenderedPageBreak/>
              <w:t>funkcji.</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Na funkcję inną niż usługowa;</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3. Na funkcję usługową na terenie objętym planem miejscowym.</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 xml:space="preserve">1.  Na funkcję usługową na terenie </w:t>
            </w:r>
            <w:r w:rsidRPr="00541F1B">
              <w:rPr>
                <w:rFonts w:ascii="Times New Roman" w:hAnsi="Times New Roman" w:cs="Times New Roman"/>
                <w:color w:val="000000"/>
                <w:sz w:val="20"/>
                <w:szCs w:val="20"/>
              </w:rPr>
              <w:lastRenderedPageBreak/>
              <w:t>nieobjętym planem miejscowym.</w:t>
            </w:r>
          </w:p>
          <w:p w:rsidR="00C65BEE" w:rsidRPr="00541F1B" w:rsidRDefault="00C65BEE" w:rsidP="00146D5E">
            <w:pPr>
              <w:keepLines/>
              <w:spacing w:after="0"/>
              <w:rPr>
                <w:rFonts w:ascii="Times New Roman" w:hAnsi="Times New Roman" w:cs="Times New Roman"/>
                <w:color w:val="000000"/>
                <w:sz w:val="20"/>
                <w:szCs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lastRenderedPageBreak/>
              <w:t>3</w:t>
            </w:r>
          </w:p>
        </w:tc>
        <w:tc>
          <w:tcPr>
            <w:tcW w:w="1985" w:type="dxa"/>
            <w:gridSpan w:val="7"/>
          </w:tcPr>
          <w:p w:rsidR="00C65BEE" w:rsidRPr="00541F1B" w:rsidRDefault="00C65BEE" w:rsidP="00146D5E">
            <w:pPr>
              <w:pStyle w:val="USTustnpkodeksu"/>
              <w:tabs>
                <w:tab w:val="left" w:pos="6551"/>
              </w:tabs>
              <w:spacing w:line="276" w:lineRule="auto"/>
              <w:ind w:firstLine="0"/>
              <w:jc w:val="center"/>
              <w:rPr>
                <w:rFonts w:ascii="Times New Roman" w:hAnsi="Times New Roman" w:cs="Times New Roman"/>
                <w:b/>
                <w:color w:val="000000"/>
                <w:sz w:val="20"/>
              </w:rPr>
            </w:pPr>
            <w:r w:rsidRPr="00541F1B">
              <w:rPr>
                <w:rFonts w:ascii="Times New Roman" w:hAnsi="Times New Roman" w:cs="Times New Roman"/>
                <w:b/>
                <w:color w:val="000000"/>
                <w:sz w:val="20"/>
              </w:rPr>
              <w:t>Urządzenia budowlane</w:t>
            </w: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3.1</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b/>
                <w:color w:val="000000"/>
                <w:sz w:val="20"/>
              </w:rPr>
            </w:pPr>
            <w:r w:rsidRPr="00541F1B">
              <w:rPr>
                <w:rFonts w:ascii="Times New Roman" w:hAnsi="Times New Roman" w:cs="Times New Roman"/>
                <w:b/>
                <w:color w:val="000000"/>
                <w:sz w:val="20"/>
              </w:rPr>
              <w:t>Budowa</w:t>
            </w: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Wewnętrzne urządzenia budowlane, niezaliczone do kategorii 2 i 3.</w:t>
            </w:r>
          </w:p>
          <w:p w:rsidR="00C65BEE" w:rsidRPr="00541F1B" w:rsidRDefault="00C65BEE" w:rsidP="00146D5E">
            <w:pPr>
              <w:keepLines/>
              <w:spacing w:after="0"/>
              <w:rPr>
                <w:rFonts w:ascii="Times New Roman" w:hAnsi="Times New Roman" w:cs="Times New Roman"/>
                <w:color w:val="000000"/>
                <w:sz w:val="20"/>
                <w:szCs w:val="20"/>
              </w:rPr>
            </w:pPr>
          </w:p>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2. Zewnętrzne urządzenia budowlane niezaliczone do kategorii 2.</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Instalacja wentylacyjna;</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Mikroinstalacje odnawialnych źródeł energii i place zabaw inne niż związane z budynkami mieszkalnymi jednorodzinnymi oraz siedliskami;</w:t>
            </w:r>
          </w:p>
          <w:p w:rsidR="00C65BEE"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 xml:space="preserve">3. Przydomowe zbiorniki na nieczystości oraz przydomowe studnie; </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4. Urządzenia budowlane na elewacji frontowej, widocznej z drogi publicznej.</w:t>
            </w: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Instalacja gazowa.</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3.2</w:t>
            </w:r>
          </w:p>
        </w:tc>
        <w:tc>
          <w:tcPr>
            <w:tcW w:w="1985" w:type="dxa"/>
          </w:tcPr>
          <w:p w:rsidR="00C65BEE" w:rsidRPr="00541F1B" w:rsidRDefault="00C65BEE" w:rsidP="00146D5E">
            <w:pPr>
              <w:keepLines/>
              <w:spacing w:after="0"/>
              <w:rPr>
                <w:rFonts w:ascii="Times New Roman" w:hAnsi="Times New Roman" w:cs="Times New Roman"/>
                <w:b/>
                <w:color w:val="000000"/>
                <w:sz w:val="20"/>
                <w:szCs w:val="20"/>
              </w:rPr>
            </w:pPr>
            <w:r w:rsidRPr="00541F1B">
              <w:rPr>
                <w:rFonts w:ascii="Times New Roman" w:hAnsi="Times New Roman" w:cs="Times New Roman"/>
                <w:b/>
                <w:color w:val="000000"/>
                <w:sz w:val="20"/>
                <w:szCs w:val="20"/>
              </w:rPr>
              <w:t>Wykonywanie innych niż budowa robót budowlanych</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 xml:space="preserve">1. Wszystkie inwestycje, z wyłączeniem </w:t>
            </w:r>
            <w:r w:rsidRPr="00541F1B">
              <w:rPr>
                <w:rFonts w:ascii="Times New Roman" w:hAnsi="Times New Roman" w:cs="Times New Roman"/>
                <w:color w:val="000000"/>
                <w:sz w:val="20"/>
                <w:szCs w:val="20"/>
              </w:rPr>
              <w:lastRenderedPageBreak/>
              <w:t>instalacji gazowej.</w:t>
            </w: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lastRenderedPageBreak/>
              <w:t>1. Instalacja gazowa.</w:t>
            </w: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c>
          <w:tcPr>
            <w:tcW w:w="1985"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lastRenderedPageBreak/>
              <w:t>4</w:t>
            </w:r>
          </w:p>
        </w:tc>
        <w:tc>
          <w:tcPr>
            <w:tcW w:w="1985" w:type="dxa"/>
            <w:gridSpan w:val="7"/>
          </w:tcPr>
          <w:p w:rsidR="00C65BEE" w:rsidRPr="00541F1B" w:rsidRDefault="00C65BEE" w:rsidP="00146D5E">
            <w:pPr>
              <w:pStyle w:val="USTustnpkodeksu"/>
              <w:tabs>
                <w:tab w:val="left" w:pos="6551"/>
              </w:tabs>
              <w:spacing w:line="276" w:lineRule="auto"/>
              <w:ind w:firstLine="0"/>
              <w:jc w:val="center"/>
              <w:rPr>
                <w:rFonts w:ascii="Times New Roman" w:hAnsi="Times New Roman" w:cs="Times New Roman"/>
                <w:color w:val="000000"/>
                <w:sz w:val="20"/>
              </w:rPr>
            </w:pPr>
            <w:r w:rsidRPr="00541F1B">
              <w:rPr>
                <w:rFonts w:ascii="Times New Roman" w:hAnsi="Times New Roman" w:cs="Times New Roman"/>
                <w:b/>
                <w:color w:val="000000"/>
                <w:sz w:val="20"/>
              </w:rPr>
              <w:t>Inna zmiana zagospodarowania terenu</w:t>
            </w:r>
          </w:p>
        </w:tc>
      </w:tr>
      <w:tr w:rsidR="00C65BEE" w:rsidRPr="00362CEA" w:rsidTr="00146D5E">
        <w:tc>
          <w:tcPr>
            <w:tcW w:w="534" w:type="dxa"/>
          </w:tcPr>
          <w:p w:rsidR="00C65BEE" w:rsidRPr="00541F1B" w:rsidRDefault="00C65BEE" w:rsidP="00146D5E">
            <w:pPr>
              <w:pStyle w:val="USTustnpkodeksu"/>
              <w:tabs>
                <w:tab w:val="left" w:pos="6551"/>
              </w:tabs>
              <w:spacing w:line="276" w:lineRule="auto"/>
              <w:ind w:firstLine="0"/>
              <w:rPr>
                <w:rFonts w:ascii="Times New Roman" w:hAnsi="Times New Roman" w:cs="Times New Roman"/>
                <w:color w:val="000000"/>
                <w:sz w:val="20"/>
              </w:rPr>
            </w:pPr>
            <w:r w:rsidRPr="00541F1B">
              <w:rPr>
                <w:rFonts w:ascii="Times New Roman" w:hAnsi="Times New Roman" w:cs="Times New Roman"/>
                <w:color w:val="000000"/>
                <w:sz w:val="20"/>
              </w:rPr>
              <w:t>4.1</w:t>
            </w:r>
          </w:p>
        </w:tc>
        <w:tc>
          <w:tcPr>
            <w:tcW w:w="1985" w:type="dxa"/>
          </w:tcPr>
          <w:p w:rsidR="00C65BEE" w:rsidRPr="00541F1B" w:rsidRDefault="00C65BEE" w:rsidP="00146D5E">
            <w:pPr>
              <w:keepLines/>
              <w:spacing w:after="0"/>
              <w:rPr>
                <w:rFonts w:ascii="Times New Roman" w:hAnsi="Times New Roman" w:cs="Times New Roman"/>
                <w:b/>
                <w:color w:val="000000"/>
                <w:sz w:val="20"/>
                <w:szCs w:val="20"/>
              </w:rPr>
            </w:pPr>
            <w:r w:rsidRPr="00541F1B">
              <w:rPr>
                <w:rFonts w:ascii="Times New Roman" w:hAnsi="Times New Roman" w:cs="Times New Roman"/>
                <w:b/>
                <w:color w:val="000000"/>
                <w:sz w:val="20"/>
                <w:szCs w:val="20"/>
              </w:rPr>
              <w:t>Inna zmiana zagospodarowania terenu</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Zmiana zagospodarowania terenu niedotycząca obiektu budowlanego na terenie objętym planem miejscowym;</w:t>
            </w:r>
          </w:p>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2. Zmiana zagospodarowania terenu niedotycząca obiektu budowlanego na terenie nieobjętym planem miejscowym - do 100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w:t>
            </w: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Zmiana zagospodarowania terenu niedotycząca obiektu budowlanego na terenie nieobjętym planem miejscowym - powyżej 100 m</w:t>
            </w:r>
            <w:r w:rsidRPr="00006B96">
              <w:rPr>
                <w:rFonts w:ascii="Times New Roman" w:hAnsi="Times New Roman" w:cs="Times New Roman"/>
                <w:color w:val="000000"/>
                <w:sz w:val="20"/>
                <w:szCs w:val="20"/>
                <w:vertAlign w:val="superscript"/>
              </w:rPr>
              <w:t>2</w:t>
            </w:r>
            <w:r w:rsidRPr="00541F1B">
              <w:rPr>
                <w:rFonts w:ascii="Times New Roman" w:hAnsi="Times New Roman" w:cs="Times New Roman"/>
                <w:color w:val="000000"/>
                <w:sz w:val="20"/>
                <w:szCs w:val="20"/>
              </w:rPr>
              <w:t>.</w:t>
            </w: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Utworzenie parku</w:t>
            </w:r>
            <w:r w:rsidR="002833C6">
              <w:rPr>
                <w:rFonts w:ascii="Times New Roman" w:hAnsi="Times New Roman" w:cs="Times New Roman"/>
                <w:color w:val="000000"/>
                <w:sz w:val="20"/>
                <w:szCs w:val="20"/>
              </w:rPr>
              <w:t>.</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Utworzenie terenu sportu i rekreacji.</w:t>
            </w:r>
          </w:p>
          <w:p w:rsidR="00C65BEE" w:rsidRPr="00541F1B" w:rsidRDefault="00C65BEE" w:rsidP="00146D5E">
            <w:pPr>
              <w:keepLines/>
              <w:spacing w:after="0"/>
              <w:rPr>
                <w:rFonts w:ascii="Times New Roman" w:hAnsi="Times New Roman" w:cs="Times New Roman"/>
                <w:color w:val="000000"/>
                <w:sz w:val="20"/>
                <w:szCs w:val="20"/>
              </w:rPr>
            </w:pPr>
          </w:p>
          <w:p w:rsidR="00C65BEE" w:rsidRPr="00541F1B" w:rsidRDefault="00C65BEE" w:rsidP="00146D5E">
            <w:pPr>
              <w:keepLines/>
              <w:spacing w:after="0"/>
              <w:rPr>
                <w:rFonts w:ascii="Times New Roman" w:hAnsi="Times New Roman" w:cs="Times New Roman"/>
                <w:color w:val="000000"/>
                <w:sz w:val="20"/>
                <w:szCs w:val="20"/>
              </w:rPr>
            </w:pPr>
          </w:p>
          <w:p w:rsidR="00C65BEE" w:rsidRPr="00541F1B" w:rsidRDefault="00C65BEE" w:rsidP="00146D5E">
            <w:pPr>
              <w:keepLines/>
              <w:spacing w:after="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Utworzenie cmentarza</w:t>
            </w:r>
            <w:r w:rsidR="002833C6">
              <w:rPr>
                <w:rFonts w:ascii="Times New Roman" w:hAnsi="Times New Roman" w:cs="Times New Roman"/>
                <w:color w:val="000000"/>
                <w:sz w:val="20"/>
                <w:szCs w:val="20"/>
              </w:rPr>
              <w:t>.</w:t>
            </w:r>
          </w:p>
          <w:p w:rsidR="00C65BEE"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Utworzenie składowiska odpadów, z wyłączeniem składowiska odpadów mokrych i składowiska odpadów niebezpiecznych</w:t>
            </w:r>
            <w:r w:rsidR="002833C6">
              <w:rPr>
                <w:rFonts w:ascii="Times New Roman" w:hAnsi="Times New Roman" w:cs="Times New Roman"/>
                <w:color w:val="000000"/>
                <w:sz w:val="20"/>
                <w:szCs w:val="20"/>
              </w:rPr>
              <w:t>.</w:t>
            </w:r>
          </w:p>
          <w:p w:rsidR="00C65BEE" w:rsidRPr="00541F1B" w:rsidRDefault="00C65BEE" w:rsidP="00146D5E">
            <w:pPr>
              <w:keepLines/>
              <w:spacing w:after="0"/>
              <w:rPr>
                <w:rFonts w:ascii="Times New Roman" w:hAnsi="Times New Roman" w:cs="Times New Roman"/>
                <w:color w:val="000000"/>
                <w:sz w:val="20"/>
                <w:szCs w:val="20"/>
              </w:rPr>
            </w:pPr>
            <w:r>
              <w:rPr>
                <w:rFonts w:ascii="Times New Roman" w:hAnsi="Times New Roman" w:cs="Times New Roman"/>
                <w:color w:val="000000"/>
                <w:sz w:val="20"/>
                <w:szCs w:val="20"/>
              </w:rPr>
              <w:t>3. Utworzenie strzelnicy.</w:t>
            </w:r>
          </w:p>
          <w:p w:rsidR="00C65BEE" w:rsidRPr="00541F1B" w:rsidRDefault="00C65BEE" w:rsidP="00146D5E">
            <w:pPr>
              <w:keepLines/>
              <w:spacing w:after="0"/>
              <w:rPr>
                <w:rFonts w:ascii="Times New Roman" w:hAnsi="Times New Roman" w:cs="Times New Roman"/>
                <w:color w:val="000000"/>
                <w:sz w:val="20"/>
                <w:szCs w:val="20"/>
              </w:rPr>
            </w:pPr>
          </w:p>
          <w:p w:rsidR="00C65BEE" w:rsidRPr="00541F1B" w:rsidRDefault="00C65BEE" w:rsidP="00146D5E">
            <w:pPr>
              <w:spacing w:after="0"/>
              <w:rPr>
                <w:rFonts w:ascii="Times New Roman" w:hAnsi="Times New Roman" w:cs="Times New Roman"/>
                <w:color w:val="000000"/>
                <w:sz w:val="20"/>
                <w:szCs w:val="20"/>
              </w:rPr>
            </w:pPr>
          </w:p>
          <w:p w:rsidR="00C65BEE" w:rsidRPr="00541F1B" w:rsidRDefault="00C65BEE" w:rsidP="00146D5E">
            <w:pPr>
              <w:spacing w:after="0"/>
              <w:rPr>
                <w:rFonts w:ascii="Times New Roman" w:hAnsi="Times New Roman" w:cs="Times New Roman"/>
                <w:color w:val="000000"/>
                <w:sz w:val="20"/>
                <w:szCs w:val="20"/>
              </w:rPr>
            </w:pPr>
          </w:p>
          <w:p w:rsidR="00C65BEE" w:rsidRPr="00541F1B" w:rsidRDefault="00C65BEE" w:rsidP="00146D5E">
            <w:pPr>
              <w:spacing w:after="0"/>
              <w:rPr>
                <w:rFonts w:ascii="Times New Roman" w:hAnsi="Times New Roman" w:cs="Times New Roman"/>
                <w:color w:val="000000"/>
                <w:sz w:val="20"/>
                <w:szCs w:val="20"/>
              </w:rPr>
            </w:pPr>
          </w:p>
          <w:p w:rsidR="00C65BEE" w:rsidRPr="00541F1B" w:rsidRDefault="00C65BEE" w:rsidP="00146D5E">
            <w:pPr>
              <w:spacing w:after="0"/>
              <w:rPr>
                <w:rFonts w:ascii="Times New Roman" w:hAnsi="Times New Roman" w:cs="Times New Roman"/>
                <w:color w:val="000000"/>
                <w:sz w:val="20"/>
                <w:szCs w:val="20"/>
              </w:rPr>
            </w:pPr>
          </w:p>
          <w:p w:rsidR="00C65BEE" w:rsidRPr="00541F1B" w:rsidRDefault="00C65BEE" w:rsidP="00146D5E">
            <w:pPr>
              <w:spacing w:after="0"/>
              <w:rPr>
                <w:rFonts w:ascii="Times New Roman" w:hAnsi="Times New Roman" w:cs="Times New Roman"/>
                <w:color w:val="000000"/>
                <w:sz w:val="20"/>
                <w:szCs w:val="20"/>
              </w:rPr>
            </w:pPr>
          </w:p>
          <w:p w:rsidR="00C65BEE" w:rsidRPr="00541F1B" w:rsidRDefault="00C65BEE" w:rsidP="00146D5E">
            <w:pPr>
              <w:spacing w:after="0"/>
              <w:ind w:firstLine="708"/>
              <w:rPr>
                <w:rFonts w:ascii="Times New Roman" w:hAnsi="Times New Roman" w:cs="Times New Roman"/>
                <w:color w:val="000000"/>
                <w:sz w:val="20"/>
                <w:szCs w:val="20"/>
              </w:rPr>
            </w:pPr>
          </w:p>
        </w:tc>
        <w:tc>
          <w:tcPr>
            <w:tcW w:w="1985" w:type="dxa"/>
          </w:tcPr>
          <w:p w:rsidR="00C65BEE" w:rsidRPr="00541F1B" w:rsidRDefault="00C65BEE" w:rsidP="00146D5E">
            <w:pPr>
              <w:keepLines/>
              <w:spacing w:after="0"/>
              <w:rPr>
                <w:rFonts w:ascii="Times New Roman" w:hAnsi="Times New Roman" w:cs="Times New Roman"/>
                <w:color w:val="000000"/>
                <w:sz w:val="20"/>
                <w:szCs w:val="20"/>
              </w:rPr>
            </w:pPr>
            <w:r w:rsidRPr="00541F1B">
              <w:rPr>
                <w:rFonts w:ascii="Times New Roman" w:hAnsi="Times New Roman" w:cs="Times New Roman"/>
                <w:color w:val="000000"/>
                <w:sz w:val="20"/>
                <w:szCs w:val="20"/>
              </w:rPr>
              <w:t>1. Utworzenie składowiska odpadów mokrych.</w:t>
            </w:r>
          </w:p>
          <w:p w:rsidR="00C65BEE" w:rsidRPr="00541F1B" w:rsidRDefault="00C65BEE" w:rsidP="00146D5E">
            <w:pPr>
              <w:keepLines/>
              <w:spacing w:after="0"/>
              <w:rPr>
                <w:rFonts w:ascii="Times New Roman" w:hAnsi="Times New Roman" w:cs="Times New Roman"/>
                <w:color w:val="000000"/>
                <w:sz w:val="20"/>
                <w:szCs w:val="20"/>
              </w:rPr>
            </w:pPr>
          </w:p>
        </w:tc>
        <w:tc>
          <w:tcPr>
            <w:tcW w:w="1985" w:type="dxa"/>
          </w:tcPr>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1. Utworzenie elektrowni jądrowej</w:t>
            </w:r>
            <w:r w:rsidR="002833C6">
              <w:rPr>
                <w:rFonts w:ascii="Times New Roman" w:hAnsi="Times New Roman" w:cs="Times New Roman"/>
                <w:color w:val="000000"/>
                <w:sz w:val="20"/>
                <w:szCs w:val="20"/>
              </w:rPr>
              <w:t>.</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2. Utworzenie kopalni</w:t>
            </w:r>
            <w:r w:rsidR="002833C6">
              <w:rPr>
                <w:rFonts w:ascii="Times New Roman" w:hAnsi="Times New Roman" w:cs="Times New Roman"/>
                <w:color w:val="000000"/>
                <w:sz w:val="20"/>
                <w:szCs w:val="20"/>
              </w:rPr>
              <w:t>.</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3. Utworzenie lotniska</w:t>
            </w:r>
            <w:r w:rsidR="002833C6">
              <w:rPr>
                <w:rFonts w:ascii="Times New Roman" w:hAnsi="Times New Roman" w:cs="Times New Roman"/>
                <w:color w:val="000000"/>
                <w:sz w:val="20"/>
                <w:szCs w:val="20"/>
              </w:rPr>
              <w:t>.</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4. Utworzenie portu morskiego</w:t>
            </w:r>
            <w:r w:rsidR="002833C6">
              <w:rPr>
                <w:rFonts w:ascii="Times New Roman" w:hAnsi="Times New Roman" w:cs="Times New Roman"/>
                <w:color w:val="000000"/>
                <w:sz w:val="20"/>
                <w:szCs w:val="20"/>
              </w:rPr>
              <w:t>.</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5. Utworzenie przystani</w:t>
            </w:r>
            <w:r w:rsidR="002833C6">
              <w:rPr>
                <w:rFonts w:ascii="Times New Roman" w:hAnsi="Times New Roman" w:cs="Times New Roman"/>
                <w:color w:val="000000"/>
                <w:sz w:val="20"/>
                <w:szCs w:val="20"/>
              </w:rPr>
              <w:t>.</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6. Utworzenie składowiska odpadów niebezpiecznych</w:t>
            </w:r>
            <w:r w:rsidR="002833C6">
              <w:rPr>
                <w:rFonts w:ascii="Times New Roman" w:hAnsi="Times New Roman" w:cs="Times New Roman"/>
                <w:color w:val="000000"/>
                <w:sz w:val="20"/>
                <w:szCs w:val="20"/>
              </w:rPr>
              <w:t>.</w:t>
            </w:r>
          </w:p>
          <w:p w:rsidR="00C65BEE" w:rsidRPr="00541F1B" w:rsidRDefault="00C65BEE" w:rsidP="00146D5E">
            <w:pPr>
              <w:keepLines/>
              <w:spacing w:after="120"/>
              <w:rPr>
                <w:rFonts w:ascii="Times New Roman" w:hAnsi="Times New Roman" w:cs="Times New Roman"/>
                <w:color w:val="000000"/>
                <w:sz w:val="20"/>
                <w:szCs w:val="20"/>
              </w:rPr>
            </w:pPr>
            <w:r w:rsidRPr="00541F1B">
              <w:rPr>
                <w:rFonts w:ascii="Times New Roman" w:hAnsi="Times New Roman" w:cs="Times New Roman"/>
                <w:color w:val="000000"/>
                <w:sz w:val="20"/>
                <w:szCs w:val="20"/>
              </w:rPr>
              <w:t xml:space="preserve">7. Utworzenie zbiornika retencyjnego o powierzchni powyżej </w:t>
            </w:r>
            <w:r>
              <w:rPr>
                <w:rFonts w:ascii="Times New Roman" w:hAnsi="Times New Roman" w:cs="Times New Roman"/>
                <w:color w:val="000000"/>
                <w:sz w:val="20"/>
                <w:szCs w:val="20"/>
              </w:rPr>
              <w:t>0,5 km</w:t>
            </w:r>
            <w:r w:rsidRPr="00146D5E">
              <w:rPr>
                <w:rFonts w:ascii="Times New Roman" w:hAnsi="Times New Roman" w:cs="Times New Roman"/>
                <w:color w:val="000000"/>
                <w:sz w:val="20"/>
                <w:szCs w:val="20"/>
                <w:vertAlign w:val="superscript"/>
              </w:rPr>
              <w:t>2</w:t>
            </w:r>
            <w:r w:rsidR="002833C6" w:rsidRPr="00006B96">
              <w:rPr>
                <w:rFonts w:ascii="Times New Roman" w:hAnsi="Times New Roman" w:cs="Times New Roman"/>
                <w:color w:val="000000"/>
                <w:sz w:val="20"/>
                <w:szCs w:val="20"/>
              </w:rPr>
              <w:t>.</w:t>
            </w:r>
            <w:r w:rsidRPr="00541F1B">
              <w:rPr>
                <w:rFonts w:ascii="Times New Roman" w:hAnsi="Times New Roman" w:cs="Times New Roman"/>
                <w:color w:val="000000"/>
                <w:sz w:val="20"/>
                <w:szCs w:val="20"/>
              </w:rPr>
              <w:t xml:space="preserve"> </w:t>
            </w:r>
          </w:p>
        </w:tc>
      </w:tr>
    </w:tbl>
    <w:p w:rsidR="00C65BEE" w:rsidRDefault="00C65BEE" w:rsidP="00C65BEE">
      <w:pPr>
        <w:pStyle w:val="USTustnpkodeksu"/>
        <w:tabs>
          <w:tab w:val="left" w:pos="6551"/>
        </w:tabs>
        <w:spacing w:line="276" w:lineRule="auto"/>
        <w:rPr>
          <w:color w:val="000000"/>
        </w:rPr>
      </w:pPr>
    </w:p>
    <w:p w:rsidR="00C65BEE" w:rsidRDefault="00C65BEE" w:rsidP="00C65BEE">
      <w:pPr>
        <w:pStyle w:val="USTustnpkodeksu"/>
        <w:tabs>
          <w:tab w:val="left" w:pos="6551"/>
        </w:tabs>
        <w:spacing w:line="276" w:lineRule="auto"/>
        <w:rPr>
          <w:color w:val="000000"/>
        </w:rPr>
      </w:pPr>
    </w:p>
    <w:p w:rsidR="00C65BEE" w:rsidRDefault="00C65BEE" w:rsidP="00C65BEE">
      <w:pPr>
        <w:pStyle w:val="USTustnpkodeksu"/>
        <w:tabs>
          <w:tab w:val="left" w:pos="6551"/>
        </w:tabs>
        <w:spacing w:line="276" w:lineRule="auto"/>
        <w:rPr>
          <w:color w:val="000000"/>
        </w:rPr>
      </w:pPr>
    </w:p>
    <w:p w:rsidR="00C65BEE" w:rsidRDefault="00C65BEE" w:rsidP="00C65BEE">
      <w:pPr>
        <w:pStyle w:val="USTustnpkodeksu"/>
        <w:tabs>
          <w:tab w:val="left" w:pos="6551"/>
        </w:tabs>
        <w:spacing w:line="276" w:lineRule="auto"/>
        <w:rPr>
          <w:color w:val="000000"/>
        </w:rPr>
      </w:pPr>
    </w:p>
    <w:p w:rsidR="00D5359E" w:rsidRDefault="00D5359E"/>
    <w:sectPr w:rsidR="00D5359E" w:rsidSect="00C65BE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72" w:rsidRDefault="00902672" w:rsidP="00C65BEE">
      <w:pPr>
        <w:spacing w:after="0" w:line="240" w:lineRule="auto"/>
      </w:pPr>
      <w:r>
        <w:separator/>
      </w:r>
    </w:p>
  </w:endnote>
  <w:endnote w:type="continuationSeparator" w:id="0">
    <w:p w:rsidR="00902672" w:rsidRDefault="00902672" w:rsidP="00C6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8">
    <w:altName w:val="Times New Roman"/>
    <w:charset w:val="EE"/>
    <w:family w:val="auto"/>
    <w:pitch w:val="variable"/>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72" w:rsidRDefault="00902672" w:rsidP="00C65BEE">
      <w:pPr>
        <w:spacing w:after="0" w:line="240" w:lineRule="auto"/>
      </w:pPr>
      <w:r>
        <w:separator/>
      </w:r>
    </w:p>
  </w:footnote>
  <w:footnote w:type="continuationSeparator" w:id="0">
    <w:p w:rsidR="00902672" w:rsidRDefault="00902672" w:rsidP="00C65BEE">
      <w:pPr>
        <w:spacing w:after="0" w:line="240" w:lineRule="auto"/>
      </w:pPr>
      <w:r>
        <w:continuationSeparator/>
      </w:r>
    </w:p>
  </w:footnote>
  <w:footnote w:id="1">
    <w:p w:rsidR="00C65BEE" w:rsidRPr="00006B96" w:rsidRDefault="00C65BEE" w:rsidP="00006B96">
      <w:pPr>
        <w:pStyle w:val="Tekstprzypisudolnego"/>
        <w:ind w:firstLine="0"/>
        <w:rPr>
          <w:rFonts w:ascii="Times New Roman" w:hAnsi="Times New Roman" w:cs="Times New Roman"/>
        </w:rPr>
      </w:pPr>
      <w:r w:rsidRPr="00006B96">
        <w:rPr>
          <w:rStyle w:val="Odwoanieprzypisudolnego"/>
          <w:rFonts w:ascii="Times New Roman" w:hAnsi="Times New Roman" w:cs="Times New Roman"/>
        </w:rPr>
        <w:footnoteRef/>
      </w:r>
      <w:r w:rsidRPr="00006B96">
        <w:rPr>
          <w:rFonts w:ascii="Times New Roman" w:hAnsi="Times New Roman" w:cs="Times New Roman"/>
        </w:rPr>
        <w:t>Przy ustalaniu wysokości całkowitej budowli uwzględnia się także jej część podziemną niebędącą elementem posadowienia, w szczególności nie wlicza się wysokości fundamentu lub płyty dennej.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15C4"/>
    <w:multiLevelType w:val="hybridMultilevel"/>
    <w:tmpl w:val="4A24C90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EE"/>
    <w:rsid w:val="00006B96"/>
    <w:rsid w:val="002833C6"/>
    <w:rsid w:val="00460279"/>
    <w:rsid w:val="0064418E"/>
    <w:rsid w:val="007E2548"/>
    <w:rsid w:val="00902672"/>
    <w:rsid w:val="0093491F"/>
    <w:rsid w:val="00C65BEE"/>
    <w:rsid w:val="00D5359E"/>
    <w:rsid w:val="00DD195D"/>
    <w:rsid w:val="00FA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BEE"/>
    <w:pPr>
      <w:suppressAutoHyphens/>
      <w:spacing w:after="200" w:line="276" w:lineRule="auto"/>
    </w:pPr>
    <w:rPr>
      <w:rFonts w:ascii="Calibri" w:eastAsia="SimSun" w:hAnsi="Calibri" w:cs="font228"/>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pogrubienie">
    <w:name w:val="_P_ – pogrubienie"/>
    <w:uiPriority w:val="1"/>
    <w:qFormat/>
    <w:rsid w:val="00C65BEE"/>
    <w:rPr>
      <w:b/>
    </w:rPr>
  </w:style>
  <w:style w:type="character" w:styleId="Odwoanieprzypisudolnego">
    <w:name w:val="footnote reference"/>
    <w:uiPriority w:val="99"/>
    <w:rsid w:val="00C65BEE"/>
    <w:rPr>
      <w:vertAlign w:val="superscript"/>
    </w:rPr>
  </w:style>
  <w:style w:type="paragraph" w:customStyle="1" w:styleId="ARTartustawynprozporzdzenia">
    <w:name w:val="ART(§) – art. ustawy (§ np. rozporządzenia)"/>
    <w:uiPriority w:val="11"/>
    <w:qFormat/>
    <w:rsid w:val="00C65BEE"/>
    <w:pPr>
      <w:suppressAutoHyphens/>
      <w:spacing w:before="120" w:line="360" w:lineRule="auto"/>
      <w:ind w:firstLine="510"/>
      <w:jc w:val="both"/>
    </w:pPr>
    <w:rPr>
      <w:rFonts w:ascii="Times" w:eastAsia="SimSun" w:hAnsi="Times" w:cs="Arial"/>
      <w:sz w:val="24"/>
      <w:lang w:eastAsia="ar-SA"/>
    </w:rPr>
  </w:style>
  <w:style w:type="paragraph" w:customStyle="1" w:styleId="USTustnpkodeksu">
    <w:name w:val="UST(§) – ust. (§ np. kodeksu)"/>
    <w:basedOn w:val="ARTartustawynprozporzdzenia"/>
    <w:uiPriority w:val="12"/>
    <w:qFormat/>
    <w:rsid w:val="00C65BEE"/>
    <w:pPr>
      <w:spacing w:before="0"/>
    </w:pPr>
    <w:rPr>
      <w:bCs/>
    </w:rPr>
  </w:style>
  <w:style w:type="paragraph" w:customStyle="1" w:styleId="PKTpunkt">
    <w:name w:val="PKT – punkt"/>
    <w:link w:val="PKTpunktZnak"/>
    <w:uiPriority w:val="99"/>
    <w:qFormat/>
    <w:rsid w:val="00C65BEE"/>
    <w:pPr>
      <w:suppressAutoHyphens/>
      <w:spacing w:line="360" w:lineRule="auto"/>
      <w:ind w:left="510" w:hanging="510"/>
      <w:jc w:val="both"/>
    </w:pPr>
    <w:rPr>
      <w:rFonts w:ascii="Times" w:eastAsia="SimSun" w:hAnsi="Times"/>
      <w:bCs/>
      <w:sz w:val="24"/>
      <w:lang w:eastAsia="ar-SA"/>
    </w:rPr>
  </w:style>
  <w:style w:type="paragraph" w:styleId="Tekstprzypisudolnego">
    <w:name w:val="footnote text"/>
    <w:basedOn w:val="Normalny"/>
    <w:link w:val="TekstprzypisudolnegoZnak"/>
    <w:uiPriority w:val="99"/>
    <w:rsid w:val="00C65BEE"/>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rsid w:val="00C65BEE"/>
    <w:rPr>
      <w:rFonts w:ascii="Calibri" w:eastAsia="SimSun" w:hAnsi="Calibri" w:cs="font228"/>
      <w:lang w:eastAsia="ar-SA"/>
    </w:rPr>
  </w:style>
  <w:style w:type="paragraph" w:styleId="Akapitzlist">
    <w:name w:val="List Paragraph"/>
    <w:basedOn w:val="Normalny"/>
    <w:uiPriority w:val="34"/>
    <w:qFormat/>
    <w:rsid w:val="00C65BEE"/>
    <w:pPr>
      <w:suppressAutoHyphens w:val="0"/>
      <w:spacing w:after="0" w:line="240" w:lineRule="auto"/>
      <w:ind w:left="720"/>
      <w:jc w:val="both"/>
    </w:pPr>
    <w:rPr>
      <w:rFonts w:eastAsia="Times New Roman" w:cs="Calibri"/>
      <w:color w:val="000000"/>
    </w:rPr>
  </w:style>
  <w:style w:type="character" w:customStyle="1" w:styleId="PKTpunktZnak">
    <w:name w:val="PKT – punkt Znak"/>
    <w:link w:val="PKTpunkt"/>
    <w:uiPriority w:val="99"/>
    <w:locked/>
    <w:rsid w:val="00C65BEE"/>
    <w:rPr>
      <w:rFonts w:ascii="Times" w:eastAsia="SimSun" w:hAnsi="Times"/>
      <w:bCs/>
      <w:sz w:val="24"/>
      <w:lang w:eastAsia="ar-SA"/>
    </w:rPr>
  </w:style>
  <w:style w:type="paragraph" w:styleId="Tekstdymka">
    <w:name w:val="Balloon Text"/>
    <w:basedOn w:val="Normalny"/>
    <w:link w:val="TekstdymkaZnak"/>
    <w:uiPriority w:val="99"/>
    <w:semiHidden/>
    <w:unhideWhenUsed/>
    <w:rsid w:val="002833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33C6"/>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BEE"/>
    <w:pPr>
      <w:suppressAutoHyphens/>
      <w:spacing w:after="200" w:line="276" w:lineRule="auto"/>
    </w:pPr>
    <w:rPr>
      <w:rFonts w:ascii="Calibri" w:eastAsia="SimSun" w:hAnsi="Calibri" w:cs="font228"/>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pogrubienie">
    <w:name w:val="_P_ – pogrubienie"/>
    <w:uiPriority w:val="1"/>
    <w:qFormat/>
    <w:rsid w:val="00C65BEE"/>
    <w:rPr>
      <w:b/>
    </w:rPr>
  </w:style>
  <w:style w:type="character" w:styleId="Odwoanieprzypisudolnego">
    <w:name w:val="footnote reference"/>
    <w:uiPriority w:val="99"/>
    <w:rsid w:val="00C65BEE"/>
    <w:rPr>
      <w:vertAlign w:val="superscript"/>
    </w:rPr>
  </w:style>
  <w:style w:type="paragraph" w:customStyle="1" w:styleId="ARTartustawynprozporzdzenia">
    <w:name w:val="ART(§) – art. ustawy (§ np. rozporządzenia)"/>
    <w:uiPriority w:val="11"/>
    <w:qFormat/>
    <w:rsid w:val="00C65BEE"/>
    <w:pPr>
      <w:suppressAutoHyphens/>
      <w:spacing w:before="120" w:line="360" w:lineRule="auto"/>
      <w:ind w:firstLine="510"/>
      <w:jc w:val="both"/>
    </w:pPr>
    <w:rPr>
      <w:rFonts w:ascii="Times" w:eastAsia="SimSun" w:hAnsi="Times" w:cs="Arial"/>
      <w:sz w:val="24"/>
      <w:lang w:eastAsia="ar-SA"/>
    </w:rPr>
  </w:style>
  <w:style w:type="paragraph" w:customStyle="1" w:styleId="USTustnpkodeksu">
    <w:name w:val="UST(§) – ust. (§ np. kodeksu)"/>
    <w:basedOn w:val="ARTartustawynprozporzdzenia"/>
    <w:uiPriority w:val="12"/>
    <w:qFormat/>
    <w:rsid w:val="00C65BEE"/>
    <w:pPr>
      <w:spacing w:before="0"/>
    </w:pPr>
    <w:rPr>
      <w:bCs/>
    </w:rPr>
  </w:style>
  <w:style w:type="paragraph" w:customStyle="1" w:styleId="PKTpunkt">
    <w:name w:val="PKT – punkt"/>
    <w:link w:val="PKTpunktZnak"/>
    <w:uiPriority w:val="99"/>
    <w:qFormat/>
    <w:rsid w:val="00C65BEE"/>
    <w:pPr>
      <w:suppressAutoHyphens/>
      <w:spacing w:line="360" w:lineRule="auto"/>
      <w:ind w:left="510" w:hanging="510"/>
      <w:jc w:val="both"/>
    </w:pPr>
    <w:rPr>
      <w:rFonts w:ascii="Times" w:eastAsia="SimSun" w:hAnsi="Times"/>
      <w:bCs/>
      <w:sz w:val="24"/>
      <w:lang w:eastAsia="ar-SA"/>
    </w:rPr>
  </w:style>
  <w:style w:type="paragraph" w:styleId="Tekstprzypisudolnego">
    <w:name w:val="footnote text"/>
    <w:basedOn w:val="Normalny"/>
    <w:link w:val="TekstprzypisudolnegoZnak"/>
    <w:uiPriority w:val="99"/>
    <w:rsid w:val="00C65BEE"/>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rsid w:val="00C65BEE"/>
    <w:rPr>
      <w:rFonts w:ascii="Calibri" w:eastAsia="SimSun" w:hAnsi="Calibri" w:cs="font228"/>
      <w:lang w:eastAsia="ar-SA"/>
    </w:rPr>
  </w:style>
  <w:style w:type="paragraph" w:styleId="Akapitzlist">
    <w:name w:val="List Paragraph"/>
    <w:basedOn w:val="Normalny"/>
    <w:uiPriority w:val="34"/>
    <w:qFormat/>
    <w:rsid w:val="00C65BEE"/>
    <w:pPr>
      <w:suppressAutoHyphens w:val="0"/>
      <w:spacing w:after="0" w:line="240" w:lineRule="auto"/>
      <w:ind w:left="720"/>
      <w:jc w:val="both"/>
    </w:pPr>
    <w:rPr>
      <w:rFonts w:eastAsia="Times New Roman" w:cs="Calibri"/>
      <w:color w:val="000000"/>
    </w:rPr>
  </w:style>
  <w:style w:type="character" w:customStyle="1" w:styleId="PKTpunktZnak">
    <w:name w:val="PKT – punkt Znak"/>
    <w:link w:val="PKTpunkt"/>
    <w:uiPriority w:val="99"/>
    <w:locked/>
    <w:rsid w:val="00C65BEE"/>
    <w:rPr>
      <w:rFonts w:ascii="Times" w:eastAsia="SimSun" w:hAnsi="Times"/>
      <w:bCs/>
      <w:sz w:val="24"/>
      <w:lang w:eastAsia="ar-SA"/>
    </w:rPr>
  </w:style>
  <w:style w:type="paragraph" w:styleId="Tekstdymka">
    <w:name w:val="Balloon Text"/>
    <w:basedOn w:val="Normalny"/>
    <w:link w:val="TekstdymkaZnak"/>
    <w:uiPriority w:val="99"/>
    <w:semiHidden/>
    <w:unhideWhenUsed/>
    <w:rsid w:val="002833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33C6"/>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nergetyczny">
  <a:themeElements>
    <a:clrScheme name="Energetyczny">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nergetyczny">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nergetyczn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1BD7-9AA6-4A9F-BCE7-CB0410CD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1658</Words>
  <Characters>9951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Leszczyński Michał</dc:creator>
  <cp:lastModifiedBy>Leszczyński Michał</cp:lastModifiedBy>
  <cp:revision>4</cp:revision>
  <cp:lastPrinted>2017-11-23T09:52:00Z</cp:lastPrinted>
  <dcterms:created xsi:type="dcterms:W3CDTF">2017-11-23T06:50:00Z</dcterms:created>
  <dcterms:modified xsi:type="dcterms:W3CDTF">2017-11-23T09:52:00Z</dcterms:modified>
</cp:coreProperties>
</file>